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宋体" w:hAnsi="宋体" w:eastAsia="方正小标宋_GBK" w:cs="方正小标宋_GBK"/>
          <w:color w:val="auto"/>
          <w:sz w:val="44"/>
          <w:szCs w:val="44"/>
          <w:highlight w:val="none"/>
        </w:rPr>
      </w:pPr>
      <w:r>
        <w:rPr>
          <w:rFonts w:hint="eastAsia" w:ascii="宋体" w:hAnsi="宋体" w:eastAsia="方正小标宋_GBK" w:cs="方正小标宋_GBK"/>
          <w:color w:val="auto"/>
          <w:sz w:val="44"/>
          <w:szCs w:val="44"/>
          <w:highlight w:val="none"/>
        </w:rPr>
        <w:t>重庆市江津区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宋体" w:hAnsi="宋体" w:eastAsia="方正小标宋_GBK" w:cs="方正小标宋_GBK"/>
          <w:color w:val="auto"/>
          <w:sz w:val="36"/>
          <w:szCs w:val="36"/>
          <w:highlight w:val="none"/>
        </w:rPr>
      </w:pPr>
      <w:r>
        <w:rPr>
          <w:rFonts w:hint="eastAsia" w:ascii="宋体" w:hAnsi="宋体" w:eastAsia="方正小标宋_GBK" w:cs="方正小标宋_GBK"/>
          <w:b w:val="0"/>
          <w:bCs w:val="0"/>
          <w:i w:val="0"/>
          <w:iCs w:val="0"/>
          <w:color w:val="auto"/>
          <w:sz w:val="44"/>
          <w:szCs w:val="44"/>
          <w:highlight w:val="none"/>
          <w:lang w:eastAsia="zh-CN"/>
        </w:rPr>
        <w:t>202</w:t>
      </w:r>
      <w:r>
        <w:rPr>
          <w:rFonts w:hint="eastAsia" w:ascii="宋体" w:hAnsi="宋体" w:eastAsia="方正小标宋_GBK" w:cs="方正小标宋_GBK"/>
          <w:b w:val="0"/>
          <w:bCs w:val="0"/>
          <w:i w:val="0"/>
          <w:iCs w:val="0"/>
          <w:color w:val="auto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宋体" w:hAnsi="宋体" w:eastAsia="方正小标宋_GBK" w:cs="方正小标宋_GBK"/>
          <w:color w:val="auto"/>
          <w:sz w:val="44"/>
          <w:szCs w:val="44"/>
          <w:highlight w:val="none"/>
        </w:rPr>
        <w:t>年</w:t>
      </w:r>
      <w:r>
        <w:rPr>
          <w:rFonts w:hint="eastAsia" w:ascii="宋体" w:hAnsi="宋体" w:eastAsia="方正小标宋_GBK" w:cs="方正小标宋_GBK"/>
          <w:color w:val="auto"/>
          <w:sz w:val="44"/>
          <w:szCs w:val="44"/>
          <w:highlight w:val="none"/>
          <w:lang w:val="en-US" w:eastAsia="zh-CN"/>
        </w:rPr>
        <w:t>1-11月</w:t>
      </w:r>
      <w:r>
        <w:rPr>
          <w:rFonts w:hint="eastAsia" w:ascii="宋体" w:hAnsi="宋体" w:eastAsia="方正小标宋_GBK" w:cs="方正小标宋_GBK"/>
          <w:color w:val="auto"/>
          <w:sz w:val="44"/>
          <w:szCs w:val="44"/>
          <w:highlight w:val="none"/>
        </w:rPr>
        <w:t>财政预算执行情况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宋体" w:hAnsi="宋体" w:eastAsia="方正小标宋_GBK" w:cs="方正小标宋_GBK"/>
          <w:color w:val="auto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0"/>
        <w:textAlignment w:val="auto"/>
        <w:rPr>
          <w:rFonts w:hint="eastAsia" w:ascii="宋体" w:hAnsi="宋体" w:eastAsia="方正黑体_GBK" w:cs="Times New Roman"/>
          <w:color w:val="auto"/>
          <w:sz w:val="32"/>
          <w:szCs w:val="32"/>
          <w:highlight w:val="none"/>
        </w:rPr>
      </w:pPr>
      <w:r>
        <w:rPr>
          <w:rFonts w:hint="eastAsia" w:ascii="宋体" w:hAnsi="宋体" w:eastAsia="方正黑体_GBK" w:cs="黑体"/>
          <w:color w:val="auto"/>
          <w:sz w:val="32"/>
          <w:szCs w:val="32"/>
          <w:highlight w:val="none"/>
        </w:rPr>
        <w:t>一、一般公共预算执行情况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楷体_GBK" w:cs="方正楷体_GBK"/>
          <w:color w:val="auto"/>
          <w:sz w:val="32"/>
          <w:szCs w:val="32"/>
          <w:highlight w:val="none"/>
        </w:rPr>
      </w:pPr>
      <w:r>
        <w:rPr>
          <w:rFonts w:hint="eastAsia" w:ascii="宋体" w:hAnsi="宋体" w:eastAsia="方正楷体_GBK" w:cs="方正楷体_GBK"/>
          <w:color w:val="auto"/>
          <w:sz w:val="32"/>
          <w:szCs w:val="32"/>
          <w:highlight w:val="none"/>
        </w:rPr>
        <w:t>（一）收入执行情况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0"/>
        <w:textAlignment w:val="auto"/>
        <w:rPr>
          <w:rFonts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1-11月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全区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一般公共预算收入累计完成55.9亿元，同比增长7.5%，较全市平均高2.6个百分点。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总量列全市第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位、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渝西八区第1位；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增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幅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列全市第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位、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渝西八区第4位（增幅前3名依次分别为合川15%、潼南14.7%、永川13%）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0"/>
        <w:textAlignment w:val="auto"/>
        <w:rPr>
          <w:rFonts w:ascii="宋体" w:hAnsi="宋体" w:eastAsia="方正仿宋_GBK" w:cs="方正仿宋_GBK"/>
          <w:sz w:val="32"/>
          <w:szCs w:val="32"/>
        </w:rPr>
      </w:pPr>
      <w:r>
        <w:rPr>
          <w:rFonts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从收入结构看：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全区税收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累计完成36.1亿元，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增长2.1%，较全市平均高0.8个百分点，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总量和增幅列全市第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位、第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位</w:t>
      </w:r>
      <w:r>
        <w:rPr>
          <w:rFonts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eastAsia="zh-CN" w:bidi="ar-SA"/>
        </w:rPr>
        <w:t>税收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占一般公共预算比重为64.7%，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eastAsia="zh-CN" w:bidi="ar-SA"/>
        </w:rPr>
        <w:t>列全市第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 w:bidi="ar-SA"/>
        </w:rPr>
        <w:t>11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eastAsia="zh-CN" w:bidi="ar-SA"/>
        </w:rPr>
        <w:t>位，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 w:bidi="ar-SA"/>
        </w:rPr>
        <w:t>参照第3季度分档考核规则，较全市平均占比高1.6个百分点，自评考核结果为B档</w:t>
      </w:r>
      <w:r>
        <w:rPr>
          <w:rFonts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非税收入完成19.7亿元，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增长18.8%。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5"/>
        <w:textAlignment w:val="auto"/>
        <w:rPr>
          <w:rFonts w:hint="eastAsia" w:ascii="宋体" w:hAnsi="宋体" w:eastAsia="方正仿宋_GBK" w:cs="方正仿宋_GBK"/>
          <w:b w:val="0"/>
          <w:bCs w:val="0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方正仿宋_GBK" w:cs="方正仿宋_GBK"/>
          <w:b/>
          <w:bCs/>
          <w:color w:val="auto"/>
          <w:sz w:val="32"/>
          <w:szCs w:val="32"/>
          <w:highlight w:val="none"/>
          <w:lang w:val="en-US" w:eastAsia="zh-CN"/>
        </w:rPr>
        <w:t>——辖区税收分行业完成情况。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1-11月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</w:rPr>
        <w:t>，辖区税收完成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76.9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</w:rPr>
        <w:t>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同比增加1.2亿元，增长1.6%。</w:t>
      </w:r>
      <w:r>
        <w:rPr>
          <w:rFonts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分行业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看：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</w:rPr>
        <w:t>工业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税收40.6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</w:rPr>
        <w:t>亿元</w:t>
      </w:r>
      <w:r>
        <w:rPr>
          <w:rFonts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同比增加4.3亿元，增长11.9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</w:rPr>
        <w:t>%</w:t>
      </w:r>
      <w:r>
        <w:rPr>
          <w:rFonts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商贸服务业税收13.4亿元</w:t>
      </w:r>
      <w:r>
        <w:rPr>
          <w:rFonts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同比减少2.4亿元，下降15.1%</w:t>
      </w:r>
      <w:r>
        <w:rPr>
          <w:rFonts w:hint="eastAsia" w:ascii="宋体" w:hAnsi="宋体" w:eastAsia="方正仿宋_GBK" w:cs="方正仿宋_GBK"/>
          <w:color w:val="auto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主要原因是交通运输、仓储和邮政业减收2.2亿元以及租赁和商务服务业减收0.8亿元；金融业入库税收3.5亿元，下降2.1%；建筑业入库税收6亿元，下降25.6%。</w:t>
      </w:r>
      <w:r>
        <w:rPr>
          <w:rFonts w:hint="eastAsia" w:ascii="宋体" w:hAnsi="宋体" w:eastAsia="方正仿宋_GBK" w:cs="方正仿宋_GBK"/>
          <w:b w:val="0"/>
          <w:bCs w:val="0"/>
          <w:color w:val="FF0000"/>
          <w:sz w:val="32"/>
          <w:szCs w:val="32"/>
          <w:highlight w:val="none"/>
          <w:lang w:val="en-US" w:eastAsia="zh-CN"/>
        </w:rPr>
        <w:t xml:space="preserve"> </w:t>
      </w:r>
    </w:p>
    <w:p>
      <w:pPr>
        <w:pStyle w:val="2"/>
        <w:rPr>
          <w:rFonts w:hint="eastAsia" w:ascii="宋体" w:hAnsi="宋体"/>
          <w:color w:val="FF0000"/>
          <w:lang w:val="en-US" w:eastAsia="zh-CN"/>
        </w:rPr>
      </w:pPr>
    </w:p>
    <w:tbl>
      <w:tblPr>
        <w:tblStyle w:val="17"/>
        <w:tblW w:w="77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3"/>
        <w:gridCol w:w="1344"/>
        <w:gridCol w:w="1033"/>
        <w:gridCol w:w="1165"/>
        <w:gridCol w:w="14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77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黑体_GBK" w:cs="方正黑体_GBK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方正黑体_GBK" w:cs="方正黑体_GBK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2024年1-11月辖区税收分行业完成情况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7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60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2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行业</w:t>
            </w:r>
          </w:p>
        </w:tc>
        <w:tc>
          <w:tcPr>
            <w:tcW w:w="3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总量</w:t>
            </w:r>
          </w:p>
        </w:tc>
        <w:tc>
          <w:tcPr>
            <w:tcW w:w="14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增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2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金额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占比%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增幅%</w:t>
            </w:r>
          </w:p>
        </w:tc>
        <w:tc>
          <w:tcPr>
            <w:tcW w:w="14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2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全辖税收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768,940 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1.6 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12,372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工  业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406,320 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52.8 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11.9 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43,188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2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建设投资领域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119,215 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15.5 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-18.6 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-27,280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2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其中：房地产业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58,820 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7.6 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-9.9 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-6,498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2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 xml:space="preserve">      建筑业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60,395 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7.9 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-25.6 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-20,782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2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金融业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35,266 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 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-2.1 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-773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2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商贸服务业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133,833 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17.4 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-15.1 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-23,893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2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其他服务业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74,306 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9.7 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39.7 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21,130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方正仿宋_GBK" w:cs="方正仿宋_GBK"/>
          <w:b/>
          <w:bCs/>
          <w:color w:val="auto"/>
          <w:sz w:val="32"/>
          <w:szCs w:val="32"/>
          <w:highlight w:val="none"/>
        </w:rPr>
        <w:t>——区级税收分税种完成情况。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1-11月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，区级税收完成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36.1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亿元，</w:t>
      </w:r>
      <w:r>
        <w:rPr>
          <w:rFonts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同比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增加0.76</w:t>
      </w:r>
      <w:r>
        <w:rPr>
          <w:rFonts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亿元，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增长2.1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%。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其中，土地增值税增长16倍，主要是今年少办理土地增值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税清算退税1.12亿元以及“三攻坚一盘活”入库土地增值税2.85亿元；增值税同比下降6.9%，主要是去年同期入库缓税3.65亿元，今年因先进制造业增值税加计抵扣政策减收2.64亿元；企业所得税同比下降12.9%，主要是重点税源企业减收，如敏华减收0.58亿元，乐多可和硕佳多式联运减收1.05亿元。同时，受去年稽查查补一次性入库（德感园区查补城镇土地使用税0.36亿元、渝西天然气管道公司一次性缴纳耕地占</w:t>
      </w:r>
      <w:bookmarkStart w:id="0" w:name="_GoBack"/>
      <w:bookmarkEnd w:id="0"/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用税0.16亿元）垫高基数影响，今年，城镇土地使用税、耕地占用税同比分别下降18.8%和40.4%，降幅环比收窄2.6个百分点和5.5个百分点。</w:t>
      </w:r>
    </w:p>
    <w:p>
      <w:pPr>
        <w:pStyle w:val="2"/>
        <w:rPr>
          <w:rFonts w:ascii="宋体" w:hAnsi="宋体"/>
          <w:lang w:val="en-US" w:eastAsia="zh-CN"/>
        </w:rPr>
      </w:pPr>
    </w:p>
    <w:p>
      <w:pPr>
        <w:rPr>
          <w:rFonts w:ascii="宋体" w:hAnsi="宋体"/>
          <w:lang w:val="en-US" w:eastAsia="zh-CN"/>
        </w:rPr>
      </w:pPr>
    </w:p>
    <w:tbl>
      <w:tblPr>
        <w:tblStyle w:val="17"/>
        <w:tblW w:w="700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6"/>
        <w:gridCol w:w="1099"/>
        <w:gridCol w:w="919"/>
        <w:gridCol w:w="923"/>
        <w:gridCol w:w="1092"/>
        <w:gridCol w:w="11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0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100"/>
              <w:jc w:val="center"/>
              <w:textAlignment w:val="center"/>
              <w:rPr>
                <w:rFonts w:ascii="宋体" w:hAnsi="宋体" w:eastAsia="黑体" w:cs="黑体"/>
                <w:i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2024年1-11月区级税收分税种完成情况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黑体" w:cs="黑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黑体" w:cs="黑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黑体" w:cs="黑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黑体" w:cs="黑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黑体" w:cs="黑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8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税种</w:t>
            </w:r>
          </w:p>
        </w:tc>
        <w:tc>
          <w:tcPr>
            <w:tcW w:w="2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总量</w:t>
            </w:r>
          </w:p>
        </w:tc>
        <w:tc>
          <w:tcPr>
            <w:tcW w:w="2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增量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8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完成额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占比%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增幅%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增加额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拉动税收收入增长%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税收收入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361,476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7,606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增值税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116,676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32.3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-6.9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-8,714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企业所得税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46,359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12.8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-12.9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-6,862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个人所得税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8,630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6.7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545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城市维护建设税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26,971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-3.7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-1,045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房产税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40,904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11.3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-1.0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-422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城镇土地使用税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40,437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11.2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-18.8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-9,385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土地增值税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33,567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9.3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1,607.3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35,794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耕地占用税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4,053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-40.4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-2,749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契税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26,416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7.3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-2.5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-677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其他各税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17,463 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 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6.9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1,121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 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firstLine="643" w:firstLineChars="200"/>
        <w:jc w:val="both"/>
        <w:textAlignment w:val="auto"/>
        <w:rPr>
          <w:rFonts w:hint="default" w:ascii="宋体" w:hAnsi="宋体"/>
          <w:color w:val="auto"/>
          <w:highlight w:val="none"/>
          <w:lang w:val="en-US" w:eastAsia="zh-CN"/>
        </w:rPr>
      </w:pPr>
      <w:r>
        <w:rPr>
          <w:rFonts w:hint="eastAsia" w:ascii="宋体" w:hAnsi="宋体" w:eastAsia="方正仿宋_GBK" w:cs="方正仿宋_GBK"/>
          <w:b/>
          <w:bCs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——工业园辖区税收完成情况。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1-11月，</w:t>
      </w:r>
      <w:r>
        <w:rPr>
          <w:rFonts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各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工业园区累计完成全口径税收55.9亿元，占全</w:t>
      </w:r>
      <w:r>
        <w:rPr>
          <w:rFonts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区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72.7%。</w:t>
      </w:r>
      <w:r>
        <w:rPr>
          <w:rFonts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分园区看：</w:t>
      </w:r>
      <w:r>
        <w:rPr>
          <w:rFonts w:hint="eastAsia" w:ascii="宋体" w:hAnsi="宋体" w:eastAsia="方正仿宋_GBK" w:cs="方正仿宋_GBK"/>
          <w:color w:val="auto"/>
          <w:kern w:val="2"/>
          <w:sz w:val="32"/>
          <w:szCs w:val="32"/>
          <w:highlight w:val="none"/>
          <w:lang w:val="en-US" w:eastAsia="zh-CN" w:bidi="ar-SA"/>
        </w:rPr>
        <w:t>白沙工业园发展中心入库5.8亿元，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kern w:val="2"/>
          <w:sz w:val="32"/>
          <w:szCs w:val="32"/>
          <w:highlight w:val="none"/>
          <w:lang w:val="en-US" w:eastAsia="zh-CN" w:bidi="ar-SA"/>
        </w:rPr>
        <w:t>增长182.4%</w:t>
      </w:r>
      <w:r>
        <w:rPr>
          <w:rFonts w:ascii="宋体" w:hAnsi="宋体" w:eastAsia="方正仿宋_GBK" w:cs="方正仿宋_GBK"/>
          <w:color w:val="auto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宋体" w:hAnsi="宋体" w:eastAsia="方正仿宋_GBK" w:cs="方正仿宋_GBK"/>
          <w:color w:val="auto"/>
          <w:kern w:val="2"/>
          <w:sz w:val="32"/>
          <w:szCs w:val="32"/>
          <w:highlight w:val="none"/>
          <w:lang w:val="en-US" w:eastAsia="zh-CN" w:bidi="ar-SA"/>
        </w:rPr>
        <w:t>主要是去年同期产生留抵退税较多；双福工业园发展中心入库17.4亿元，同比增长6.3%；重庆枢纽港产业园入库21亿元，同比增长3.2%；德感工业园发展中心入库11.7亿元，同比下降2.1%。</w:t>
      </w:r>
    </w:p>
    <w:p>
      <w:pPr>
        <w:pStyle w:val="2"/>
        <w:jc w:val="center"/>
        <w:rPr>
          <w:rFonts w:hint="eastAsia" w:ascii="宋体" w:hAnsi="宋体"/>
          <w:highlight w:val="none"/>
          <w:lang w:val="en-US" w:eastAsia="zh-CN"/>
        </w:rPr>
      </w:pPr>
      <w:r>
        <w:rPr>
          <w:rFonts w:ascii="宋体" w:hAnsi="宋体"/>
        </w:rPr>
        <w:drawing>
          <wp:inline distT="0" distB="0" distL="114300" distR="114300">
            <wp:extent cx="4628515" cy="2085340"/>
            <wp:effectExtent l="4445" t="4445" r="15240" b="5715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pStyle w:val="2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方正仿宋_GBK" w:cs="方正仿宋_GBK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——重点税源企业税收情况</w:t>
      </w:r>
      <w:r>
        <w:rPr>
          <w:rFonts w:hint="eastAsia" w:ascii="宋体" w:hAnsi="宋体" w:eastAsia="方正仿宋_GBK"/>
          <w:b/>
          <w:bCs/>
          <w:color w:val="auto"/>
          <w:sz w:val="32"/>
          <w:szCs w:val="32"/>
          <w:highlight w:val="none"/>
        </w:rPr>
        <w:t>。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1-11月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</w:rPr>
        <w:t>，我区前40位重点税源企业入库税收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31.3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</w:rPr>
        <w:t>亿元，</w:t>
      </w:r>
      <w:r>
        <w:rPr>
          <w:rFonts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</w:rPr>
        <w:t>同比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增收6亿</w:t>
      </w:r>
      <w:r>
        <w:rPr>
          <w:rFonts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</w:rPr>
        <w:t>元，入库税收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占全辖区税收的40.7%，从总体情况看，70%的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企业保持着增收态势。从入库情况看，有12家重点税源企业减收，其中减收超0.1亿元以上企业有：敏华集团减收0.76亿元、太极集团重庆中药二厂有限公司减收0.22亿元、万里科技减收0.11亿元、重庆伟星新型建材有限公司减收0.1亿元；有28家重点税源企业增长，其中增收幅度较大的企业有：江小白集团增收0.95亿元、重齿增收0.94亿元、玖龙纸业增收0.8亿元、华能电厂增收0.8亿元、赛力斯集团增收0.66亿元、慕思家居增收0.42亿元</w:t>
      </w:r>
      <w:r>
        <w:rPr>
          <w:rFonts w:hint="eastAsia" w:ascii="宋体" w:hAnsi="宋体" w:eastAsia="方正仿宋_GBK" w:cs="方正仿宋_GBK"/>
          <w:color w:val="auto"/>
          <w:kern w:val="2"/>
          <w:sz w:val="32"/>
          <w:szCs w:val="32"/>
          <w:highlight w:val="none"/>
          <w:lang w:val="en-US" w:eastAsia="zh-CN" w:bidi="ar-SA"/>
        </w:rPr>
        <w:t>、嘉川物流增收0.3亿元、重庆江增船舶重工有限公司增收0.3亿元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0"/>
        <w:textAlignment w:val="auto"/>
        <w:rPr>
          <w:rFonts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ab/>
      </w:r>
      <w:r>
        <w:rPr>
          <w:rFonts w:hint="eastAsia" w:ascii="宋体" w:hAnsi="宋体" w:eastAsia="方正仿宋_GBK" w:cs="方正仿宋_GBK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——非税收入完成情况。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1-11月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，非税收入完成19.7亿元，同比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增长18.8%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从收入结构看：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行政事业性收费收入完成0.64亿元，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下降57.2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%，主要原因是防空地下室易地建设费减少2582万元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；国有资源（资产）有偿使用收入完成15.3亿元，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增长23.7%</w:t>
      </w:r>
      <w:r>
        <w:rPr>
          <w:rFonts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宋体" w:hAnsi="宋体" w:eastAsia="方正仿宋_GBK" w:cs="宋体"/>
          <w:sz w:val="32"/>
          <w:szCs w:val="32"/>
          <w:highlight w:val="none"/>
          <w:u w:val="none"/>
          <w:lang w:val="en-US" w:eastAsia="zh-CN"/>
        </w:rPr>
        <w:t>主要增收原因是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一次性非税收入入库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；专项收入完成1.5亿元，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增长3.9%；罚没收入完成1.7亿元，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增长23.7%，主要增收原因是区纪委罚没收入缴库5811万元、公安罚没收入缴库 4529万元；政府住房基金收入和其他收入分别完成911万元、5485万元。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楷体_GBK" w:cs="方正楷体_GBK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宋体" w:hAnsi="宋体" w:eastAsia="方正楷体_GBK" w:cs="方正楷体_GBK"/>
          <w:b w:val="0"/>
          <w:bCs/>
          <w:color w:val="auto"/>
          <w:sz w:val="32"/>
          <w:szCs w:val="32"/>
          <w:highlight w:val="none"/>
        </w:rPr>
        <w:t>（二）支出执行情况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1-11月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，全区一般公共预算支出实现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98.4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增长2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%</w:t>
      </w:r>
      <w:r>
        <w:rPr>
          <w:rFonts w:ascii="宋体" w:hAnsi="宋体" w:eastAsia="方正仿宋_GBK" w:cs="方正仿宋_GBK"/>
          <w:color w:val="auto"/>
          <w:sz w:val="32"/>
          <w:szCs w:val="32"/>
          <w:highlight w:val="none"/>
        </w:rPr>
        <w:t>，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总量和增幅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位列全市第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10位、第34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位。其中：社会保障和就业支出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20.7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增长12.4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%；城乡社区事务支出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7.9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增长5.5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%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一般公共服务支出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7.7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下降0.4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%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农林水事务支出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10.3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增长10.9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%；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卫生健康支出11.2亿元，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下降11.9%；文化旅游体育与传媒支出1.3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下降14.4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%；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科技支出0.5亿元，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下降62.7%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；教育支出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21.3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/>
        </w:rPr>
        <w:t>下降62.7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0"/>
        <w:textAlignment w:val="auto"/>
        <w:rPr>
          <w:rFonts w:hint="eastAsia" w:ascii="宋体" w:hAnsi="宋体" w:eastAsia="方正黑体_GBK" w:cs="Times New Roman"/>
          <w:color w:val="auto"/>
          <w:sz w:val="32"/>
          <w:szCs w:val="32"/>
          <w:highlight w:val="none"/>
        </w:rPr>
      </w:pPr>
      <w:r>
        <w:rPr>
          <w:rFonts w:hint="eastAsia" w:ascii="宋体" w:hAnsi="宋体" w:eastAsia="方正黑体_GBK" w:cs="黑体"/>
          <w:color w:val="auto"/>
          <w:sz w:val="32"/>
          <w:szCs w:val="32"/>
          <w:highlight w:val="none"/>
        </w:rPr>
        <w:t>二、政府性基金预算执行情况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方正楷体_GBK" w:cs="方正楷体_GBK"/>
          <w:b w:val="0"/>
          <w:bCs/>
          <w:color w:val="auto"/>
          <w:sz w:val="32"/>
          <w:szCs w:val="32"/>
          <w:highlight w:val="none"/>
        </w:rPr>
        <w:t>（一）收入执行情况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1-11月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，全区</w:t>
      </w:r>
      <w:r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lang w:bidi="ar-SA"/>
        </w:rPr>
        <w:t>政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bidi="ar-SA"/>
        </w:rPr>
        <w:t>府性基金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 w:bidi="ar-SA"/>
        </w:rPr>
        <w:t>收入累计完成13.4亿元，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 w:bidi="ar-SA"/>
        </w:rPr>
        <w:t>下降22.3%。其中：土地收入完成11.7亿元，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 w:bidi="ar-SA"/>
        </w:rPr>
        <w:t>下降17.5%；配套费完成1.3亿元，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 w:bidi="ar-SA"/>
        </w:rPr>
        <w:t>下降52.6%；污水处理费完成4426万元，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auto"/>
          <w:sz w:val="32"/>
          <w:szCs w:val="32"/>
          <w:highlight w:val="none"/>
          <w:lang w:val="en-US" w:eastAsia="zh-CN" w:bidi="ar-SA"/>
        </w:rPr>
        <w:t>增长4.7%。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楷体_GBK" w:cs="方正楷体_GBK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宋体" w:hAnsi="宋体" w:eastAsia="方正楷体_GBK" w:cs="方正楷体_GBK"/>
          <w:b w:val="0"/>
          <w:bCs/>
          <w:color w:val="auto"/>
          <w:sz w:val="32"/>
          <w:szCs w:val="32"/>
          <w:highlight w:val="none"/>
        </w:rPr>
        <w:t>（二）支出执行情况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宋体" w:hAnsi="宋体" w:eastAsia="方正仿宋_GBK" w:cs="方正仿宋_GBK"/>
          <w:b w:val="0"/>
          <w:bCs w:val="0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1-11月，全区政府性基金支出35.7亿元，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下降3%。其中，</w:t>
      </w:r>
      <w:r>
        <w:rPr>
          <w:rFonts w:hint="eastAsia" w:ascii="宋体" w:hAnsi="宋体" w:eastAsia="方正仿宋_GBK" w:cs="方正仿宋_GBK"/>
          <w:b w:val="0"/>
          <w:bCs w:val="0"/>
          <w:color w:val="000000"/>
          <w:sz w:val="32"/>
          <w:szCs w:val="32"/>
          <w:highlight w:val="none"/>
          <w:lang w:val="en-US" w:eastAsia="zh-CN" w:bidi="ar-SA"/>
        </w:rPr>
        <w:t>国有土地使用权出让收入安排的支出16.4亿元，增长3.1%，</w:t>
      </w:r>
      <w:r>
        <w:rPr>
          <w:rFonts w:ascii="宋体" w:hAnsi="宋体" w:eastAsia="方正仿宋_GBK" w:cs="方正仿宋_GBK"/>
          <w:b w:val="0"/>
          <w:bCs w:val="0"/>
          <w:color w:val="000000"/>
          <w:sz w:val="32"/>
          <w:szCs w:val="32"/>
          <w:highlight w:val="none"/>
          <w:lang w:val="en-US" w:eastAsia="zh-CN" w:bidi="ar-SA"/>
        </w:rPr>
        <w:t>主要是</w:t>
      </w:r>
      <w:r>
        <w:rPr>
          <w:rFonts w:hint="eastAsia" w:ascii="宋体" w:hAnsi="宋体" w:eastAsia="方正仿宋_GBK" w:cs="方正仿宋_GBK"/>
          <w:b w:val="0"/>
          <w:bCs w:val="0"/>
          <w:color w:val="000000"/>
          <w:sz w:val="32"/>
          <w:szCs w:val="32"/>
          <w:highlight w:val="none"/>
          <w:lang w:val="en-US" w:eastAsia="zh-CN" w:bidi="ar-SA"/>
        </w:rPr>
        <w:t>征地和拆迁补偿支出11.3亿元、其他国有土地使用权出让收入安排的支出4.7亿元。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0"/>
        <w:textAlignment w:val="auto"/>
        <w:rPr>
          <w:rFonts w:hint="eastAsia" w:ascii="宋体" w:hAnsi="宋体" w:eastAsia="方正黑体_GBK" w:cs="Times New Roman"/>
          <w:color w:val="auto"/>
          <w:sz w:val="32"/>
          <w:szCs w:val="32"/>
          <w:highlight w:val="none"/>
        </w:rPr>
      </w:pPr>
      <w:r>
        <w:rPr>
          <w:rFonts w:hint="eastAsia" w:ascii="宋体" w:hAnsi="宋体" w:eastAsia="方正黑体_GBK" w:cs="黑体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宋体" w:hAnsi="宋体" w:eastAsia="方正黑体_GBK" w:cs="黑体"/>
          <w:color w:val="auto"/>
          <w:sz w:val="32"/>
          <w:szCs w:val="32"/>
          <w:highlight w:val="none"/>
        </w:rPr>
        <w:t>、</w:t>
      </w:r>
      <w:r>
        <w:rPr>
          <w:rFonts w:hint="eastAsia" w:ascii="宋体" w:hAnsi="宋体" w:eastAsia="方正黑体_GBK" w:cs="黑体"/>
          <w:color w:val="auto"/>
          <w:sz w:val="32"/>
          <w:szCs w:val="32"/>
          <w:highlight w:val="none"/>
          <w:lang w:val="en-US" w:eastAsia="zh-CN"/>
        </w:rPr>
        <w:t>国有资本经营预算执行情况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1-11月，全区国有资本经营预算收入1164万元，同比下降25.6%，支出54万元。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firstLine="640" w:firstLineChars="200"/>
        <w:textAlignment w:val="auto"/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sectPr>
      <w:footerReference r:id="rId3" w:type="default"/>
      <w:pgSz w:w="11906" w:h="16838"/>
      <w:pgMar w:top="2098" w:right="1474" w:bottom="1984" w:left="1587" w:header="851" w:footer="147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A3"/>
    <w:family w:val="modern"/>
    <w:pitch w:val="default"/>
    <w:sig w:usb0="00000000" w:usb1="00000000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FangSong_GB2312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宋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both"/>
      <w:rPr>
        <w:rFonts w:cs="Times New Roman"/>
      </w:rPr>
    </w:pPr>
    <w:r>
      <w:rPr>
        <w:sz w:val="18"/>
      </w:rPr>
      <mc:AlternateContent>
        <mc:Choice Requires="wps">
          <w:drawing>
            <wp:anchor distT="0" distB="0" distL="90805" distR="9080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08000" cy="2628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8000" cy="263143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jc w:val="center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20.7pt;width:40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BQCV051gAAAAMBAAAPAAAAAAAAAAEAIAAAADgAAABkcnMvZG93bnJldi54&#10;bWxQSwECFAAUAAAACACHTuJA6IRd9uYBAACmAwAADgAAAAAAAAABACAAAAA7AQAAZHJzL2Uyb0Rv&#10;Yy54bWxQSwUGAAAAAAYABgBZAQAAkwUAAAAA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jc w:val="center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  <w:p>
    <w:pPr>
      <w:pStyle w:val="1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doNotWrapTextWithPunct/>
    <w:doNotUseEastAsianBreakRules/>
    <w:growAutofit/>
    <w:useFELayout/>
    <w:doNotUseIndentAsNumberingTabStop/>
    <w:useAltKinsokuLineBreakRules/>
    <w:splitPgBreakAndParaMark/>
    <w:compatSetting w:name="compatibilityMode" w:uri="http://schemas.microsoft.com/office/word" w:val="14"/>
  </w:compat>
  <w:docVars>
    <w:docVar w:name="commondata" w:val="eyJoZGlkIjoiYzE0Zjg3M2Y1Yzc1NDcxZjI5ZjY3ZmM4Y2E0Njg2NzEifQ=="/>
  </w:docVars>
  <w:rsids>
    <w:rsidRoot w:val="00000000"/>
    <w:rsid w:val="00216591"/>
    <w:rsid w:val="00EB6852"/>
    <w:rsid w:val="04567CE7"/>
    <w:rsid w:val="05B60A3D"/>
    <w:rsid w:val="06BD7663"/>
    <w:rsid w:val="071F2612"/>
    <w:rsid w:val="07A10064"/>
    <w:rsid w:val="07BE5435"/>
    <w:rsid w:val="07D45137"/>
    <w:rsid w:val="08596CD9"/>
    <w:rsid w:val="08D435EA"/>
    <w:rsid w:val="08F21453"/>
    <w:rsid w:val="099509FE"/>
    <w:rsid w:val="0B5D69EE"/>
    <w:rsid w:val="0C616EC8"/>
    <w:rsid w:val="0EDE647D"/>
    <w:rsid w:val="0EFA4090"/>
    <w:rsid w:val="0FB555C8"/>
    <w:rsid w:val="0FE1675B"/>
    <w:rsid w:val="100F35D6"/>
    <w:rsid w:val="10233540"/>
    <w:rsid w:val="115C68E6"/>
    <w:rsid w:val="136D0B19"/>
    <w:rsid w:val="13A53C36"/>
    <w:rsid w:val="16E977D6"/>
    <w:rsid w:val="17D47448"/>
    <w:rsid w:val="17F010A3"/>
    <w:rsid w:val="17FF3FED"/>
    <w:rsid w:val="18807F47"/>
    <w:rsid w:val="18FE640D"/>
    <w:rsid w:val="19835CB7"/>
    <w:rsid w:val="1AF55FDB"/>
    <w:rsid w:val="1C4050AC"/>
    <w:rsid w:val="1CAF1C4D"/>
    <w:rsid w:val="1CD93FA1"/>
    <w:rsid w:val="1D126A49"/>
    <w:rsid w:val="1ED61CF8"/>
    <w:rsid w:val="1EE06C10"/>
    <w:rsid w:val="1F987889"/>
    <w:rsid w:val="1FC37B4B"/>
    <w:rsid w:val="20032679"/>
    <w:rsid w:val="20042062"/>
    <w:rsid w:val="20666854"/>
    <w:rsid w:val="21CE4E58"/>
    <w:rsid w:val="222C30A8"/>
    <w:rsid w:val="22331C32"/>
    <w:rsid w:val="22BA2465"/>
    <w:rsid w:val="237815D0"/>
    <w:rsid w:val="23BB771D"/>
    <w:rsid w:val="23E46120"/>
    <w:rsid w:val="24BD6114"/>
    <w:rsid w:val="2556007E"/>
    <w:rsid w:val="264A5E80"/>
    <w:rsid w:val="269603CC"/>
    <w:rsid w:val="292070A7"/>
    <w:rsid w:val="29271A16"/>
    <w:rsid w:val="29CC4423"/>
    <w:rsid w:val="2A4E308A"/>
    <w:rsid w:val="2B985632"/>
    <w:rsid w:val="2BB877D6"/>
    <w:rsid w:val="2C072B97"/>
    <w:rsid w:val="2EDE3D0B"/>
    <w:rsid w:val="2F3218EB"/>
    <w:rsid w:val="314321DE"/>
    <w:rsid w:val="31995860"/>
    <w:rsid w:val="31C7557D"/>
    <w:rsid w:val="32442326"/>
    <w:rsid w:val="33494385"/>
    <w:rsid w:val="352543FB"/>
    <w:rsid w:val="35D93502"/>
    <w:rsid w:val="36813E35"/>
    <w:rsid w:val="3776777C"/>
    <w:rsid w:val="3A3B4578"/>
    <w:rsid w:val="3AD741C7"/>
    <w:rsid w:val="3B0B59B1"/>
    <w:rsid w:val="3B1705A9"/>
    <w:rsid w:val="3C300D08"/>
    <w:rsid w:val="3CFF4256"/>
    <w:rsid w:val="3DAC4070"/>
    <w:rsid w:val="3DAE3FE2"/>
    <w:rsid w:val="3DB0310D"/>
    <w:rsid w:val="3DFD5029"/>
    <w:rsid w:val="3E3C0E98"/>
    <w:rsid w:val="40923879"/>
    <w:rsid w:val="41902D7B"/>
    <w:rsid w:val="41B3263E"/>
    <w:rsid w:val="43CA694A"/>
    <w:rsid w:val="43EE7018"/>
    <w:rsid w:val="44BC3F23"/>
    <w:rsid w:val="456643F8"/>
    <w:rsid w:val="47987C48"/>
    <w:rsid w:val="48054D9E"/>
    <w:rsid w:val="48507F01"/>
    <w:rsid w:val="48EC2697"/>
    <w:rsid w:val="4A9D2EDA"/>
    <w:rsid w:val="4B3F0222"/>
    <w:rsid w:val="4B713C74"/>
    <w:rsid w:val="4BEF7DD1"/>
    <w:rsid w:val="4C392C2D"/>
    <w:rsid w:val="4D4E6D7A"/>
    <w:rsid w:val="4D9C11A0"/>
    <w:rsid w:val="4E4F7720"/>
    <w:rsid w:val="4EEF6780"/>
    <w:rsid w:val="4F14620E"/>
    <w:rsid w:val="4F566623"/>
    <w:rsid w:val="508944BA"/>
    <w:rsid w:val="50DB7E4A"/>
    <w:rsid w:val="516C5A20"/>
    <w:rsid w:val="51EE0B2B"/>
    <w:rsid w:val="53377434"/>
    <w:rsid w:val="55B03475"/>
    <w:rsid w:val="56490CF3"/>
    <w:rsid w:val="56DA167E"/>
    <w:rsid w:val="582E6607"/>
    <w:rsid w:val="5AC24903"/>
    <w:rsid w:val="5C4C1EAC"/>
    <w:rsid w:val="5C637B07"/>
    <w:rsid w:val="5FA16349"/>
    <w:rsid w:val="60E03D35"/>
    <w:rsid w:val="628031B8"/>
    <w:rsid w:val="629C5FB4"/>
    <w:rsid w:val="62CF1331"/>
    <w:rsid w:val="63C67212"/>
    <w:rsid w:val="63CA0646"/>
    <w:rsid w:val="6434713F"/>
    <w:rsid w:val="64F47DAF"/>
    <w:rsid w:val="65243D21"/>
    <w:rsid w:val="65F056C5"/>
    <w:rsid w:val="66225F23"/>
    <w:rsid w:val="66940511"/>
    <w:rsid w:val="67C50DDA"/>
    <w:rsid w:val="6939109B"/>
    <w:rsid w:val="695F3849"/>
    <w:rsid w:val="6BE112DF"/>
    <w:rsid w:val="6BF91F03"/>
    <w:rsid w:val="6DD35D74"/>
    <w:rsid w:val="70742BB6"/>
    <w:rsid w:val="718B4F66"/>
    <w:rsid w:val="72442376"/>
    <w:rsid w:val="752124FA"/>
    <w:rsid w:val="773D4245"/>
    <w:rsid w:val="78062E1A"/>
    <w:rsid w:val="78AE22AD"/>
    <w:rsid w:val="792812D1"/>
    <w:rsid w:val="796C2E4D"/>
    <w:rsid w:val="7A5942F3"/>
    <w:rsid w:val="7AA716F4"/>
    <w:rsid w:val="7C3D3992"/>
    <w:rsid w:val="7CF27242"/>
    <w:rsid w:val="7D41399A"/>
    <w:rsid w:val="7DFF6241"/>
    <w:rsid w:val="DFBE08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widowControl w:val="0"/>
      <w:adjustRightInd w:val="0"/>
      <w:spacing w:before="260" w:after="260" w:line="416" w:lineRule="atLeast"/>
      <w:textAlignment w:val="baseline"/>
      <w:outlineLvl w:val="2"/>
    </w:pPr>
    <w:rPr>
      <w:rFonts w:ascii="Times New Roman" w:hAnsi="Times New Roman" w:cs="Times New Roman"/>
      <w:b/>
      <w:bCs/>
      <w:color w:val="0000FF"/>
      <w:kern w:val="0"/>
      <w:sz w:val="32"/>
      <w:szCs w:val="32"/>
      <w:u w:val="wave"/>
    </w:rPr>
  </w:style>
  <w:style w:type="character" w:default="1" w:styleId="18">
    <w:name w:val="Default Paragraph Font"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</w:style>
  <w:style w:type="paragraph" w:styleId="4">
    <w:name w:val="index 6"/>
    <w:basedOn w:val="1"/>
    <w:next w:val="1"/>
    <w:qFormat/>
    <w:uiPriority w:val="0"/>
    <w:rPr>
      <w:rFonts w:ascii="Times New Roman" w:hAnsi="Times New Roman" w:cs="Times New Roman"/>
      <w:szCs w:val="20"/>
    </w:rPr>
  </w:style>
  <w:style w:type="paragraph" w:styleId="5">
    <w:name w:val="Body Text"/>
    <w:basedOn w:val="1"/>
    <w:next w:val="4"/>
    <w:qFormat/>
    <w:uiPriority w:val="0"/>
  </w:style>
  <w:style w:type="paragraph" w:styleId="6">
    <w:name w:val="Body Text Indent"/>
    <w:basedOn w:val="1"/>
    <w:next w:val="7"/>
    <w:qFormat/>
    <w:uiPriority w:val="0"/>
    <w:pPr>
      <w:ind w:left="400" w:leftChars="100" w:hanging="300" w:hangingChars="300"/>
    </w:pPr>
  </w:style>
  <w:style w:type="paragraph" w:customStyle="1" w:styleId="7">
    <w:name w:val="Char"/>
    <w:basedOn w:val="1"/>
    <w:qFormat/>
    <w:uiPriority w:val="0"/>
    <w:pPr>
      <w:spacing w:before="50" w:after="50"/>
      <w:ind w:firstLine="200" w:firstLineChars="200"/>
    </w:pPr>
    <w:rPr>
      <w:rFonts w:ascii="宋体" w:cs="Courier New"/>
      <w:spacing w:val="-2"/>
      <w:sz w:val="22"/>
      <w:szCs w:val="32"/>
    </w:rPr>
  </w:style>
  <w:style w:type="paragraph" w:styleId="8">
    <w:name w:val="Plain Text"/>
    <w:basedOn w:val="1"/>
    <w:next w:val="9"/>
    <w:qFormat/>
    <w:uiPriority w:val="0"/>
    <w:pPr>
      <w:widowControl w:val="0"/>
      <w:ind w:left="300" w:leftChars="300"/>
      <w:jc w:val="left"/>
    </w:pPr>
    <w:rPr>
      <w:rFonts w:ascii="宋体" w:hAnsi="宋体" w:eastAsia="方正仿宋_GBK" w:cs="Times New Roman"/>
      <w:kern w:val="2"/>
      <w:sz w:val="32"/>
      <w:szCs w:val="24"/>
      <w:lang w:val="en-US" w:eastAsia="zh-CN" w:bidi="ar-SA"/>
    </w:rPr>
  </w:style>
  <w:style w:type="paragraph" w:styleId="9">
    <w:name w:val="Date"/>
    <w:basedOn w:val="1"/>
    <w:next w:val="1"/>
    <w:qFormat/>
    <w:uiPriority w:val="0"/>
    <w:pPr>
      <w:adjustRightInd/>
      <w:ind w:left="2500" w:leftChars="2500"/>
    </w:pPr>
    <w:rPr>
      <w:sz w:val="24"/>
    </w:rPr>
  </w:style>
  <w:style w:type="paragraph" w:styleId="10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11">
    <w:name w:val="Balloon Text"/>
    <w:basedOn w:val="1"/>
    <w:qFormat/>
    <w:uiPriority w:val="0"/>
    <w:rPr>
      <w:sz w:val="18"/>
      <w:szCs w:val="18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cs="宋体"/>
      <w:kern w:val="0"/>
      <w:sz w:val="24"/>
      <w:szCs w:val="24"/>
      <w:lang w:val="en-US" w:eastAsia="zh-CN"/>
    </w:rPr>
  </w:style>
  <w:style w:type="paragraph" w:styleId="1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16">
    <w:name w:val="Body Text First Indent 2"/>
    <w:basedOn w:val="6"/>
    <w:qFormat/>
    <w:uiPriority w:val="0"/>
    <w:pPr>
      <w:ind w:left="100" w:firstLine="200" w:firstLineChars="200"/>
    </w:pPr>
    <w:rPr>
      <w:rFonts w:ascii="FangSong_GB2312" w:hAnsi="FangSong_GB2312" w:eastAsia="方正仿宋_GBK" w:cs="Times New Roman"/>
      <w:sz w:val="32"/>
    </w:rPr>
  </w:style>
  <w:style w:type="paragraph" w:customStyle="1" w:styleId="19">
    <w:name w:val="TableOfAuthoring"/>
    <w:basedOn w:val="1"/>
    <w:next w:val="1"/>
    <w:qFormat/>
    <w:uiPriority w:val="0"/>
    <w:pPr>
      <w:ind w:left="200" w:leftChars="200"/>
    </w:pPr>
  </w:style>
  <w:style w:type="paragraph" w:customStyle="1" w:styleId="20">
    <w:name w:val="列出段落1"/>
    <w:basedOn w:val="1"/>
    <w:qFormat/>
    <w:uiPriority w:val="0"/>
    <w:pPr>
      <w:ind w:firstLine="200" w:firstLineChars="200"/>
    </w:pPr>
    <w:rPr>
      <w:rFonts w:ascii="Times New Roman" w:hAnsi="Times New Roman" w:cs="Times New Roman"/>
    </w:rPr>
  </w:style>
  <w:style w:type="paragraph" w:customStyle="1" w:styleId="21">
    <w:name w:val="List Paragraph"/>
    <w:basedOn w:val="1"/>
    <w:qFormat/>
    <w:uiPriority w:val="0"/>
    <w:pPr>
      <w:ind w:firstLine="200" w:firstLineChars="200"/>
    </w:pPr>
  </w:style>
  <w:style w:type="character" w:customStyle="1" w:styleId="22">
    <w:name w:val="font01"/>
    <w:basedOn w:val="18"/>
    <w:qFormat/>
    <w:uiPriority w:val="0"/>
    <w:rPr>
      <w:rFonts w:ascii="黑体" w:eastAsia="黑体" w:cs="黑体"/>
      <w:b/>
      <w:color w:val="000000"/>
      <w:sz w:val="32"/>
      <w:szCs w:val="32"/>
      <w:u w:val="none"/>
    </w:rPr>
  </w:style>
  <w:style w:type="character" w:customStyle="1" w:styleId="23">
    <w:name w:val="font11"/>
    <w:basedOn w:val="18"/>
    <w:qFormat/>
    <w:uiPriority w:val="0"/>
    <w:rPr>
      <w:rFonts w:asci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E:\&#22269;&#24211;&#65288;&#23567;&#20876;&#23376;&#27599;&#26376;10&#26085;&#65289;\&#23567;&#27979;&#23376;\&#39044;&#31639;&#25191;&#34892;&#20998;&#26512;-------------------------------------------------------------------\&#39044;&#31639;&#25191;&#34892;&#20998;&#26512;-------------------------------------------------------------------\&#39044;&#31639;&#25191;&#34892;&#20998;&#26512;&#65288;2024&#24180;&#65289;\202411\2024&#24180;11&#26376;&#25910;&#20837;&#23436;&#25104;&#24773;&#20917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b="1"/>
              <a:t>202</a:t>
            </a:r>
            <a:r>
              <a:rPr lang="en-US" altLang="zh-CN" b="1"/>
              <a:t>4</a:t>
            </a:r>
            <a:r>
              <a:rPr b="1"/>
              <a:t>年1-</a:t>
            </a:r>
            <a:r>
              <a:rPr lang="en-US" altLang="zh-CN" b="1"/>
              <a:t>11</a:t>
            </a:r>
            <a:r>
              <a:rPr b="1"/>
              <a:t>月全区辖区税收占比分布图 </a:t>
            </a:r>
            <a:endParaRPr b="1"/>
          </a:p>
        </c:rich>
      </c:tx>
      <c:layout>
        <c:manualLayout>
          <c:xMode val="edge"/>
          <c:yMode val="edge"/>
          <c:x val="0.169026794391226"/>
          <c:y val="0.029491275497665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'[2024年11月收入完成情况.xlsx]Sheet1 '!$B$65:$B$66</c:f>
              <c:strCache>
                <c:ptCount val="1"/>
                <c:pt idx="0">
                  <c:v>2024年1-11月全区辖区税收占比分布图 占比%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2"/>
              <c:layout>
                <c:manualLayout>
                  <c:x val="0.00672335878901288"/>
                  <c:y val="-0.00319488817891374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t>临港产业城管委会 </a:t>
                    </a:r>
                    <a:r>
                      <a:rPr lang="en-US" altLang="zh-CN"/>
                      <a:t>27.3</a:t>
                    </a:r>
                    <a:r>
                      <a:t>%</a:t>
                    </a:r>
                  </a:p>
                </c:rich>
              </c:tx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0470875493805212"/>
                  <c:y val="-0.00256978478782237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t>镇街及其他 </a:t>
                    </a:r>
                    <a:r>
                      <a:rPr lang="en-US" altLang="zh-CN"/>
                      <a:t>27.4</a:t>
                    </a:r>
                    <a:r>
                      <a:t>%</a:t>
                    </a:r>
                  </a:p>
                </c:rich>
              </c:tx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eparator> </c:separator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'[2024年11月收入完成情况.xlsx]Sheet1 '!$A$67:$A$71</c:f>
              <c:strCache>
                <c:ptCount val="5"/>
                <c:pt idx="0">
                  <c:v>德感工业园发展中心</c:v>
                </c:pt>
                <c:pt idx="1">
                  <c:v>科学城江津管委会（双福工业园发展中心）</c:v>
                </c:pt>
                <c:pt idx="2">
                  <c:v>综保区管委会（珞璜工业园发展中心）</c:v>
                </c:pt>
                <c:pt idx="3">
                  <c:v>白沙工业园发展中心</c:v>
                </c:pt>
                <c:pt idx="4">
                  <c:v>镇街及其他</c:v>
                </c:pt>
              </c:strCache>
            </c:strRef>
          </c:cat>
          <c:val>
            <c:numRef>
              <c:f>'[2024年11月收入完成情况.xlsx]Sheet1 '!$B$67:$B$71</c:f>
              <c:numCache>
                <c:formatCode>#,##0.0_ </c:formatCode>
                <c:ptCount val="5"/>
                <c:pt idx="0">
                  <c:v>15.2</c:v>
                </c:pt>
                <c:pt idx="1">
                  <c:v>22.6</c:v>
                </c:pt>
                <c:pt idx="2">
                  <c:v>27.3</c:v>
                </c:pt>
                <c:pt idx="3">
                  <c:v>7.5</c:v>
                </c:pt>
                <c:pt idx="4">
                  <c:v>27.4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微软中国</Company>
  <Pages>5</Pages>
  <Words>2007</Words>
  <Characters>2778</Characters>
  <Lines>220</Lines>
  <Paragraphs>146</Paragraphs>
  <TotalTime>6</TotalTime>
  <ScaleCrop>false</ScaleCrop>
  <LinksUpToDate>false</LinksUpToDate>
  <CharactersWithSpaces>2883</CharactersWithSpaces>
  <Application>WPS Office_11.8.2.10624_F1E327BC-269C-435d-A152-05C5408002CA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2017-05-05T16:49:00Z</dcterms:created>
  <dc:creator>微软用户</dc:creator>
  <cp:lastModifiedBy>区财政局</cp:lastModifiedBy>
  <cp:lastPrinted>2024-12-09T11:16:40Z</cp:lastPrinted>
  <dcterms:modified xsi:type="dcterms:W3CDTF">2024-12-09T11:16:46Z</dcterms:modified>
  <cp:revision>4608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670946064DB84A8882E616FECFC01059</vt:lpwstr>
  </property>
</Properties>
</file>