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eastAsia="zh-CN"/>
        </w:rPr>
        <w:t>附件</w:t>
      </w:r>
      <w:r>
        <w:rPr>
          <w:rFonts w:hint="eastAsia" w:ascii="宋体" w:hAnsi="宋体" w:eastAsia="方正仿宋_GBK" w:cs="方正仿宋_GBK"/>
          <w:sz w:val="24"/>
          <w:szCs w:val="24"/>
          <w:lang w:val="en-US" w:eastAsia="zh-CN"/>
        </w:rPr>
        <w:t>3：</w:t>
      </w:r>
    </w:p>
    <w:p>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44"/>
          <w:szCs w:val="44"/>
          <w:lang w:eastAsia="zh-CN"/>
        </w:rPr>
      </w:pPr>
    </w:p>
    <w:p>
      <w:pPr>
        <w:keepNext w:val="0"/>
        <w:keepLines w:val="0"/>
        <w:pageBreakBefore w:val="0"/>
        <w:kinsoku/>
        <w:wordWrap/>
        <w:overflowPunct/>
        <w:topLinePunct w:val="0"/>
        <w:autoSpaceDN/>
        <w:bidi w:val="0"/>
        <w:snapToGrid/>
        <w:spacing w:line="579" w:lineRule="exact"/>
        <w:ind w:firstLine="1100" w:firstLineChars="250"/>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重庆市江津区军民融合发展服务中心202</w:t>
      </w:r>
      <w:r>
        <w:rPr>
          <w:rFonts w:hint="eastAsia" w:ascii="宋体" w:hAnsi="宋体" w:eastAsia="方正小标宋_GBK" w:cs="方正小标宋_GBK"/>
          <w:sz w:val="44"/>
          <w:szCs w:val="44"/>
          <w:lang w:val="en-US" w:eastAsia="zh-CN"/>
        </w:rPr>
        <w:t>4年度决算公开</w:t>
      </w:r>
      <w:r>
        <w:rPr>
          <w:rFonts w:hint="eastAsia" w:ascii="宋体" w:hAnsi="宋体" w:eastAsia="方正小标宋_GBK" w:cs="方正小标宋_GBK"/>
          <w:sz w:val="44"/>
          <w:szCs w:val="44"/>
        </w:rPr>
        <w:t>说明</w:t>
      </w:r>
    </w:p>
    <w:p>
      <w:pPr>
        <w:keepNext w:val="0"/>
        <w:keepLines w:val="0"/>
        <w:pageBreakBefore w:val="0"/>
        <w:kinsoku/>
        <w:wordWrap/>
        <w:overflowPunct/>
        <w:topLinePunct w:val="0"/>
        <w:autoSpaceDN/>
        <w:bidi w:val="0"/>
        <w:snapToGrid/>
        <w:spacing w:line="579" w:lineRule="exact"/>
        <w:ind w:firstLine="1100" w:firstLineChars="250"/>
        <w:textAlignment w:val="auto"/>
        <w:rPr>
          <w:rFonts w:hint="eastAsia" w:ascii="宋体" w:hAnsi="宋体" w:eastAsia="方正仿宋_GBK" w:cs="方正仿宋_GBK"/>
          <w:sz w:val="44"/>
          <w:szCs w:val="44"/>
        </w:rPr>
      </w:pP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一、单位基本情况</w:t>
      </w:r>
    </w:p>
    <w:p>
      <w:pPr>
        <w:keepNext w:val="0"/>
        <w:keepLines w:val="0"/>
        <w:pageBreakBefore w:val="0"/>
        <w:kinsoku/>
        <w:wordWrap/>
        <w:overflowPunct/>
        <w:topLinePunct w:val="0"/>
        <w:autoSpaceDN/>
        <w:bidi w:val="0"/>
        <w:snapToGrid/>
        <w:spacing w:line="579" w:lineRule="exact"/>
        <w:ind w:firstLine="640" w:firstLineChars="200"/>
        <w:textAlignment w:val="auto"/>
        <w:rPr>
          <w:rFonts w:hint="eastAsia" w:ascii="宋体" w:hAnsi="宋体" w:eastAsia="方正楷体_GBK" w:cs="方正楷体_GBK"/>
          <w:kern w:val="0"/>
          <w:sz w:val="32"/>
          <w:szCs w:val="32"/>
          <w:lang w:val="en-US" w:eastAsia="zh-CN"/>
        </w:rPr>
      </w:pP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一</w:t>
      </w: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职能职责</w:t>
      </w:r>
    </w:p>
    <w:p>
      <w:pPr>
        <w:snapToGrid w:val="0"/>
        <w:spacing w:line="520" w:lineRule="exact"/>
        <w:ind w:firstLine="643"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1.负责宣传贯彻落实军民融合发展战略、产业规划、体制机制和政策；</w:t>
      </w:r>
    </w:p>
    <w:p>
      <w:pPr>
        <w:snapToGrid w:val="0"/>
        <w:spacing w:line="520" w:lineRule="exact"/>
        <w:ind w:firstLine="643"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2.负责为构建军民融合信息平台提供技术性服务；</w:t>
      </w:r>
    </w:p>
    <w:p>
      <w:pPr>
        <w:snapToGrid w:val="0"/>
        <w:spacing w:line="520" w:lineRule="exact"/>
        <w:ind w:firstLine="643"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3.组织开展军民融合人才培训工作，为军民融合发展提供人才培训服务；</w:t>
      </w:r>
    </w:p>
    <w:p>
      <w:pPr>
        <w:snapToGrid w:val="0"/>
        <w:spacing w:line="520" w:lineRule="exact"/>
        <w:ind w:firstLine="643"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4.促进军地等多方位多层次需求对接与交流合作；</w:t>
      </w:r>
    </w:p>
    <w:p>
      <w:pPr>
        <w:snapToGrid w:val="0"/>
        <w:spacing w:line="520" w:lineRule="exact"/>
        <w:ind w:firstLine="643"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5.组织军民融合课题研究、合作论坛等活动；</w:t>
      </w:r>
    </w:p>
    <w:p>
      <w:pPr>
        <w:snapToGrid w:val="0"/>
        <w:spacing w:line="520" w:lineRule="exact"/>
        <w:ind w:firstLine="643" w:firstLineChars="0"/>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sz w:val="32"/>
          <w:szCs w:val="32"/>
        </w:rPr>
        <w:t>6.承担主管部门交办的其他任务</w:t>
      </w:r>
      <w:r>
        <w:rPr>
          <w:rFonts w:hint="eastAsia" w:ascii="方正仿宋_GBK" w:hAnsi="方正仿宋_GBK" w:eastAsia="方正仿宋_GBK" w:cs="方正仿宋_GBK"/>
          <w:sz w:val="32"/>
        </w:rPr>
        <w:t>。</w:t>
      </w:r>
    </w:p>
    <w:p>
      <w:pPr>
        <w:keepNext w:val="0"/>
        <w:keepLines w:val="0"/>
        <w:pageBreakBefore w:val="0"/>
        <w:numPr>
          <w:ilvl w:val="0"/>
          <w:numId w:val="1"/>
        </w:numPr>
        <w:kinsoku/>
        <w:wordWrap/>
        <w:overflowPunct/>
        <w:topLinePunct w:val="0"/>
        <w:autoSpaceDN/>
        <w:bidi w:val="0"/>
        <w:snapToGrid/>
        <w:spacing w:line="579" w:lineRule="exact"/>
        <w:ind w:firstLine="640" w:firstLineChars="200"/>
        <w:textAlignment w:val="auto"/>
        <w:rPr>
          <w:rFonts w:hint="eastAsia" w:ascii="宋体" w:hAnsi="宋体" w:eastAsia="方正楷体_GBK" w:cs="方正楷体_GBK"/>
          <w:kern w:val="0"/>
          <w:sz w:val="32"/>
          <w:szCs w:val="32"/>
          <w:lang w:eastAsia="zh-CN"/>
        </w:rPr>
      </w:pPr>
      <w:r>
        <w:rPr>
          <w:rFonts w:hint="eastAsia" w:ascii="宋体" w:hAnsi="宋体" w:eastAsia="方正楷体_GBK" w:cs="方正楷体_GBK"/>
          <w:kern w:val="0"/>
          <w:sz w:val="32"/>
          <w:szCs w:val="32"/>
          <w:lang w:val="en-US" w:eastAsia="zh-CN"/>
        </w:rPr>
        <w:t>单位构成</w:t>
      </w:r>
    </w:p>
    <w:p>
      <w:pPr>
        <w:ind w:firstLine="567"/>
        <w:rPr>
          <w:rFonts w:hint="eastAsia" w:ascii="方正仿宋_GBK" w:hAnsi="方正仿宋_GBK" w:eastAsia="方正仿宋_GBK" w:cs="方正仿宋_GBK"/>
          <w:bCs/>
          <w:sz w:val="32"/>
          <w:szCs w:val="32"/>
          <w:lang w:eastAsia="zh-CN"/>
        </w:rPr>
      </w:pPr>
      <w:r>
        <w:rPr>
          <w:rFonts w:hint="eastAsia" w:ascii="方正仿宋_GBK" w:hAnsi="方正仿宋_GBK" w:eastAsia="方正仿宋_GBK" w:cs="方正仿宋_GBK"/>
          <w:bCs/>
          <w:sz w:val="32"/>
          <w:szCs w:val="32"/>
        </w:rPr>
        <w:t>本单位为</w:t>
      </w:r>
      <w:r>
        <w:rPr>
          <w:rFonts w:hint="eastAsia" w:ascii="方正仿宋_GBK" w:hAnsi="方正仿宋_GBK" w:eastAsia="方正仿宋_GBK" w:cs="方正仿宋_GBK"/>
          <w:bCs/>
          <w:sz w:val="32"/>
          <w:szCs w:val="32"/>
          <w:lang w:val="en-US" w:eastAsia="zh-CN"/>
        </w:rPr>
        <w:t>重庆市江津区经济和信息化委员会</w:t>
      </w:r>
      <w:r>
        <w:rPr>
          <w:rFonts w:hint="eastAsia" w:ascii="方正仿宋_GBK" w:hAnsi="方正仿宋_GBK" w:eastAsia="方正仿宋_GBK" w:cs="方正仿宋_GBK"/>
          <w:bCs/>
          <w:sz w:val="32"/>
          <w:szCs w:val="32"/>
        </w:rPr>
        <w:t>所属</w:t>
      </w:r>
      <w:r>
        <w:rPr>
          <w:rFonts w:hint="eastAsia" w:ascii="方正仿宋_GBK" w:hAnsi="方正仿宋_GBK" w:eastAsia="方正仿宋_GBK" w:cs="方正仿宋_GBK"/>
          <w:bCs/>
          <w:sz w:val="32"/>
          <w:szCs w:val="32"/>
          <w:lang w:val="en-US" w:eastAsia="zh-CN"/>
        </w:rPr>
        <w:t>二</w:t>
      </w:r>
      <w:r>
        <w:rPr>
          <w:rFonts w:hint="eastAsia" w:ascii="方正仿宋_GBK" w:hAnsi="方正仿宋_GBK" w:eastAsia="方正仿宋_GBK" w:cs="方正仿宋_GBK"/>
          <w:bCs/>
          <w:sz w:val="32"/>
          <w:szCs w:val="32"/>
        </w:rPr>
        <w:t>级</w:t>
      </w:r>
      <w:r>
        <w:rPr>
          <w:rFonts w:hint="eastAsia" w:ascii="方正仿宋_GBK" w:hAnsi="方正仿宋_GBK" w:eastAsia="方正仿宋_GBK" w:cs="方正仿宋_GBK"/>
          <w:bCs/>
          <w:spacing w:val="14"/>
          <w:sz w:val="32"/>
          <w:szCs w:val="32"/>
        </w:rPr>
        <w:t>预算单位，单位类型</w:t>
      </w:r>
      <w:r>
        <w:rPr>
          <w:rFonts w:hint="eastAsia" w:ascii="方正仿宋_GBK" w:hAnsi="方正仿宋_GBK" w:eastAsia="方正仿宋_GBK" w:cs="方正仿宋_GBK"/>
          <w:bCs/>
          <w:sz w:val="32"/>
          <w:szCs w:val="32"/>
        </w:rPr>
        <w:t>为</w:t>
      </w:r>
      <w:r>
        <w:rPr>
          <w:rFonts w:hint="eastAsia" w:ascii="方正仿宋_GBK" w:hAnsi="方正仿宋_GBK" w:eastAsia="方正仿宋_GBK" w:cs="方正仿宋_GBK"/>
          <w:bCs/>
          <w:sz w:val="32"/>
          <w:szCs w:val="32"/>
          <w:lang w:val="en-US" w:eastAsia="zh-CN"/>
        </w:rPr>
        <w:t>事业</w:t>
      </w:r>
      <w:r>
        <w:rPr>
          <w:rFonts w:hint="eastAsia" w:ascii="方正仿宋_GBK" w:hAnsi="方正仿宋_GBK" w:eastAsia="方正仿宋_GBK" w:cs="方正仿宋_GBK"/>
          <w:bCs/>
          <w:sz w:val="32"/>
          <w:szCs w:val="32"/>
        </w:rPr>
        <w:t>单位，决算编报类型为</w:t>
      </w:r>
      <w:r>
        <w:rPr>
          <w:rFonts w:hint="eastAsia" w:ascii="方正仿宋_GBK" w:hAnsi="方正仿宋_GBK" w:eastAsia="方正仿宋_GBK" w:cs="方正仿宋_GBK"/>
          <w:bCs/>
          <w:sz w:val="32"/>
          <w:szCs w:val="32"/>
          <w:lang w:val="en-US" w:eastAsia="zh-CN"/>
        </w:rPr>
        <w:t>单户表</w:t>
      </w:r>
      <w:r>
        <w:rPr>
          <w:rFonts w:hint="eastAsia" w:ascii="方正仿宋_GBK" w:hAnsi="方正仿宋_GBK" w:eastAsia="方正仿宋_GBK" w:cs="方正仿宋_GBK"/>
          <w:bCs/>
          <w:sz w:val="32"/>
          <w:szCs w:val="32"/>
        </w:rPr>
        <w:t>，按照</w:t>
      </w:r>
      <w:r>
        <w:rPr>
          <w:rFonts w:hint="eastAsia" w:ascii="方正仿宋_GBK" w:hAnsi="方正仿宋_GBK" w:eastAsia="方正仿宋_GBK" w:cs="方正仿宋_GBK"/>
          <w:bCs/>
          <w:sz w:val="32"/>
          <w:szCs w:val="32"/>
          <w:lang w:val="en-US" w:eastAsia="zh-CN"/>
        </w:rPr>
        <w:t>政府会计准则制度填报决</w:t>
      </w:r>
      <w:r>
        <w:rPr>
          <w:rFonts w:hint="eastAsia" w:ascii="方正仿宋_GBK" w:hAnsi="方正仿宋_GBK" w:eastAsia="方正仿宋_GBK" w:cs="方正仿宋_GBK"/>
          <w:bCs/>
          <w:sz w:val="32"/>
          <w:szCs w:val="32"/>
        </w:rPr>
        <w:t>算数据</w:t>
      </w:r>
      <w:r>
        <w:rPr>
          <w:rFonts w:hint="eastAsia" w:ascii="方正仿宋_GBK" w:hAnsi="方正仿宋_GBK" w:eastAsia="方正仿宋_GBK" w:cs="方正仿宋_GBK"/>
          <w:bCs/>
          <w:sz w:val="32"/>
          <w:szCs w:val="32"/>
          <w:lang w:eastAsia="zh-CN"/>
        </w:rPr>
        <w:t>。</w:t>
      </w:r>
    </w:p>
    <w:p>
      <w:pPr>
        <w:snapToGrid w:val="0"/>
        <w:spacing w:line="520" w:lineRule="exact"/>
        <w:ind w:firstLine="640" w:firstLineChars="200"/>
        <w:rPr>
          <w:rFonts w:hint="eastAsia" w:ascii="方正仿宋_GBK" w:hAnsi="方正仿宋_GBK" w:eastAsia="方正仿宋_GBK" w:cs="方正仿宋_GBK"/>
          <w:bCs/>
          <w:sz w:val="32"/>
          <w:szCs w:val="32"/>
          <w:lang w:val="en-US" w:eastAsia="zh-CN"/>
        </w:rPr>
      </w:pPr>
      <w:r>
        <w:rPr>
          <w:rFonts w:hint="eastAsia" w:ascii="方正仿宋_GBK" w:hAnsi="方正仿宋_GBK" w:eastAsia="方正仿宋_GBK" w:cs="方正仿宋_GBK"/>
          <w:bCs/>
          <w:sz w:val="32"/>
          <w:szCs w:val="32"/>
        </w:rPr>
        <w:t>纳入本套决算编制范围的独立核算单位共</w:t>
      </w:r>
      <w:r>
        <w:rPr>
          <w:rFonts w:hint="eastAsia" w:ascii="方正仿宋_GBK" w:hAnsi="方正仿宋_GBK" w:eastAsia="方正仿宋_GBK" w:cs="方正仿宋_GBK"/>
          <w:bCs/>
          <w:sz w:val="32"/>
          <w:szCs w:val="32"/>
          <w:lang w:val="en-US" w:eastAsia="zh-CN"/>
        </w:rPr>
        <w:t>1个</w:t>
      </w:r>
      <w:r>
        <w:rPr>
          <w:rFonts w:hint="eastAsia" w:ascii="方正仿宋_GBK" w:hAnsi="方正仿宋_GBK" w:eastAsia="方正仿宋_GBK" w:cs="方正仿宋_GBK"/>
          <w:bCs/>
          <w:sz w:val="32"/>
          <w:szCs w:val="32"/>
        </w:rPr>
        <w:t>，比上年增减</w:t>
      </w:r>
      <w:r>
        <w:rPr>
          <w:rFonts w:hint="eastAsia" w:ascii="方正仿宋_GBK" w:hAnsi="方正仿宋_GBK" w:eastAsia="方正仿宋_GBK" w:cs="方正仿宋_GBK"/>
          <w:bCs/>
          <w:sz w:val="32"/>
          <w:szCs w:val="32"/>
          <w:lang w:val="en-US" w:eastAsia="zh-CN"/>
        </w:rPr>
        <w:t>0个。</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部门决算情况</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部门收支总体情况</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收入支出总体情况。</w:t>
      </w:r>
      <w:r>
        <w:rPr>
          <w:rFonts w:hint="eastAsia" w:ascii="宋体" w:hAnsi="宋体" w:eastAsia="方正仿宋_GBK" w:cs="方正仿宋_GBK"/>
          <w:b w:val="0"/>
          <w:bCs w:val="0"/>
          <w:sz w:val="32"/>
          <w:szCs w:val="32"/>
          <w:lang w:val="en-US" w:eastAsia="zh-CN"/>
        </w:rPr>
        <w:t>2024年度收入总计</w:t>
      </w:r>
      <w:r>
        <w:rPr>
          <w:rFonts w:ascii="方正仿宋_GBK" w:hAnsi="方正仿宋_GBK" w:eastAsia="方正仿宋_GBK" w:cs="方正仿宋_GBK"/>
          <w:sz w:val="32"/>
          <w:szCs w:val="32"/>
          <w:shd w:val="clear" w:color="auto" w:fill="FFFFFF"/>
        </w:rPr>
        <w:t>127.39万元，支出总计</w:t>
      </w:r>
      <w:r>
        <w:rPr>
          <w:rFonts w:ascii="方正仿宋_GBK" w:hAnsi="方正仿宋_GBK" w:eastAsia="方正仿宋_GBK" w:cs="方正仿宋_GBK"/>
          <w:sz w:val="32"/>
          <w:szCs w:val="32"/>
        </w:rPr>
        <w:t>127.39</w:t>
      </w:r>
      <w:r>
        <w:rPr>
          <w:rFonts w:ascii="方正仿宋_GBK" w:hAnsi="方正仿宋_GBK" w:eastAsia="方正仿宋_GBK" w:cs="方正仿宋_GBK"/>
          <w:sz w:val="32"/>
          <w:szCs w:val="32"/>
          <w:shd w:val="clear" w:color="auto" w:fill="FFFFFF"/>
        </w:rPr>
        <w:t>万元。收、支与2023年度相比，减少7.96万元，下降5.88%，主要原因是</w:t>
      </w:r>
      <w:r>
        <w:rPr>
          <w:rFonts w:hint="eastAsia" w:ascii="仿宋_GB2312" w:hAnsi="仿宋" w:eastAsia="仿宋_GB2312" w:cs="仿宋"/>
          <w:bCs/>
          <w:sz w:val="32"/>
          <w:szCs w:val="32"/>
          <w:lang w:val="en-US" w:eastAsia="zh-CN"/>
        </w:rPr>
        <w:t>是本年度收支中减少了工业发展管理经费等项目资金预算</w:t>
      </w:r>
      <w:r>
        <w:rPr>
          <w:rFonts w:hint="eastAsia" w:ascii="宋体" w:hAnsi="宋体" w:eastAsia="方正仿宋_GBK" w:cs="方正仿宋_GBK"/>
          <w:b w:val="0"/>
          <w:bCs w:val="0"/>
          <w:sz w:val="32"/>
          <w:szCs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收入情况。</w:t>
      </w:r>
      <w:r>
        <w:rPr>
          <w:rFonts w:hint="eastAsia" w:ascii="宋体" w:hAnsi="宋体" w:eastAsia="方正仿宋_GBK" w:cs="方正仿宋_GBK"/>
          <w:b w:val="0"/>
          <w:bCs w:val="0"/>
          <w:sz w:val="32"/>
          <w:szCs w:val="32"/>
          <w:lang w:val="en-US" w:eastAsia="zh-CN"/>
        </w:rPr>
        <w:t>2024年度本年收入合计</w:t>
      </w:r>
      <w:r>
        <w:rPr>
          <w:rFonts w:ascii="方正仿宋_GBK" w:hAnsi="方正仿宋_GBK" w:eastAsia="方正仿宋_GBK" w:cs="方正仿宋_GBK"/>
          <w:sz w:val="32"/>
          <w:szCs w:val="32"/>
        </w:rPr>
        <w:t>127.39</w:t>
      </w:r>
      <w:r>
        <w:rPr>
          <w:rFonts w:hint="eastAsia" w:ascii="宋体" w:hAnsi="宋体" w:eastAsia="方正仿宋_GBK" w:cs="方正仿宋_GBK"/>
          <w:b w:val="0"/>
          <w:bCs w:val="0"/>
          <w:sz w:val="32"/>
          <w:szCs w:val="32"/>
          <w:lang w:val="en-US" w:eastAsia="zh-CN"/>
        </w:rPr>
        <w:t>万元，较上年</w:t>
      </w:r>
      <w:r>
        <w:rPr>
          <w:rFonts w:ascii="方正仿宋_GBK" w:hAnsi="方正仿宋_GBK" w:eastAsia="方正仿宋_GBK" w:cs="方正仿宋_GBK"/>
          <w:sz w:val="32"/>
          <w:szCs w:val="32"/>
          <w:shd w:val="clear" w:color="auto" w:fill="FFFFFF"/>
        </w:rPr>
        <w:t>减少7.96</w:t>
      </w:r>
      <w:r>
        <w:rPr>
          <w:rFonts w:hint="eastAsia" w:ascii="宋体" w:hAnsi="宋体" w:eastAsia="方正仿宋_GBK" w:cs="方正仿宋_GBK"/>
          <w:b w:val="0"/>
          <w:bCs w:val="0"/>
          <w:sz w:val="32"/>
          <w:szCs w:val="32"/>
          <w:lang w:val="en-US" w:eastAsia="zh-CN"/>
        </w:rPr>
        <w:t>万元，</w:t>
      </w:r>
      <w:r>
        <w:rPr>
          <w:rFonts w:ascii="方正仿宋_GBK" w:hAnsi="方正仿宋_GBK" w:eastAsia="方正仿宋_GBK" w:cs="方正仿宋_GBK"/>
          <w:sz w:val="32"/>
          <w:szCs w:val="32"/>
          <w:shd w:val="clear" w:color="auto" w:fill="FFFFFF"/>
        </w:rPr>
        <w:t>下降5.88%</w:t>
      </w:r>
      <w:r>
        <w:rPr>
          <w:rFonts w:hint="eastAsia" w:ascii="宋体" w:hAnsi="宋体" w:eastAsia="方正仿宋_GBK" w:cs="方正仿宋_GBK"/>
          <w:b w:val="0"/>
          <w:bCs w:val="0"/>
          <w:sz w:val="32"/>
          <w:szCs w:val="32"/>
          <w:lang w:val="en-US" w:eastAsia="zh-CN"/>
        </w:rPr>
        <w:t>，主要原因为</w:t>
      </w:r>
      <w:r>
        <w:rPr>
          <w:rFonts w:hint="eastAsia" w:ascii="仿宋_GB2312" w:hAnsi="仿宋" w:eastAsia="仿宋_GB2312" w:cs="仿宋"/>
          <w:bCs/>
          <w:sz w:val="32"/>
          <w:szCs w:val="32"/>
          <w:lang w:val="en-US" w:eastAsia="zh-CN"/>
        </w:rPr>
        <w:t>本年度收入减少了工业发展管理经费等项目资金预算</w:t>
      </w:r>
      <w:r>
        <w:rPr>
          <w:rFonts w:hint="eastAsia" w:ascii="宋体" w:hAnsi="宋体" w:eastAsia="方正仿宋_GBK" w:cs="方正仿宋_GBK"/>
          <w:b w:val="0"/>
          <w:bCs w:val="0"/>
          <w:sz w:val="32"/>
          <w:szCs w:val="32"/>
          <w:lang w:val="en-US" w:eastAsia="zh-CN"/>
        </w:rPr>
        <w:t>。其中：财政拨款收入</w:t>
      </w:r>
      <w:r>
        <w:rPr>
          <w:rFonts w:ascii="方正仿宋_GBK" w:hAnsi="方正仿宋_GBK" w:eastAsia="方正仿宋_GBK" w:cs="方正仿宋_GBK"/>
          <w:sz w:val="32"/>
          <w:szCs w:val="32"/>
        </w:rPr>
        <w:t>127.39</w:t>
      </w:r>
      <w:r>
        <w:rPr>
          <w:rFonts w:hint="eastAsia" w:ascii="宋体" w:hAnsi="宋体" w:eastAsia="方正仿宋_GBK" w:cs="方正仿宋_GBK"/>
          <w:b w:val="0"/>
          <w:bCs w:val="0"/>
          <w:sz w:val="32"/>
          <w:szCs w:val="32"/>
          <w:lang w:val="en-US" w:eastAsia="zh-CN"/>
        </w:rPr>
        <w:t>万元，占比100%；事业收入0.00万元，占比0.00%；其他收入0.00万元，占比0.00%。</w:t>
      </w:r>
      <w:r>
        <w:rPr>
          <w:rFonts w:ascii="方正仿宋_GBK" w:hAnsi="方正仿宋_GBK" w:eastAsia="方正仿宋_GBK" w:cs="方正仿宋_GBK"/>
          <w:sz w:val="32"/>
          <w:szCs w:val="32"/>
          <w:shd w:val="clear" w:color="auto" w:fill="FFFFFF"/>
        </w:rPr>
        <w:t>此外，使用非财政拨款结余和专用结余</w:t>
      </w:r>
      <w:r>
        <w:rPr>
          <w:rFonts w:hint="eastAsia" w:ascii="宋体" w:hAnsi="宋体" w:eastAsia="方正仿宋_GBK" w:cs="方正仿宋_GBK"/>
          <w:b w:val="0"/>
          <w:bCs w:val="0"/>
          <w:sz w:val="32"/>
          <w:szCs w:val="32"/>
          <w:lang w:val="en-US" w:eastAsia="zh-CN"/>
        </w:rPr>
        <w:t>0.00</w:t>
      </w:r>
      <w:r>
        <w:rPr>
          <w:rFonts w:ascii="方正仿宋_GBK" w:hAnsi="方正仿宋_GBK" w:eastAsia="方正仿宋_GBK" w:cs="方正仿宋_GBK"/>
          <w:sz w:val="32"/>
          <w:szCs w:val="32"/>
          <w:shd w:val="clear" w:color="auto" w:fill="FFFFFF"/>
        </w:rPr>
        <w:t>万元，年初结转和结余</w:t>
      </w:r>
      <w:r>
        <w:rPr>
          <w:rFonts w:hint="eastAsia" w:ascii="宋体" w:hAnsi="宋体" w:eastAsia="方正仿宋_GBK" w:cs="方正仿宋_GBK"/>
          <w:b w:val="0"/>
          <w:bCs w:val="0"/>
          <w:sz w:val="32"/>
          <w:szCs w:val="32"/>
          <w:lang w:val="en-US" w:eastAsia="zh-CN"/>
        </w:rPr>
        <w:t>0.00</w:t>
      </w:r>
      <w:r>
        <w:rPr>
          <w:rFonts w:ascii="方正仿宋_GBK" w:hAnsi="方正仿宋_GBK" w:eastAsia="方正仿宋_GBK" w:cs="方正仿宋_GBK"/>
          <w:sz w:val="32"/>
          <w:szCs w:val="32"/>
          <w:shd w:val="clear" w:color="auto" w:fill="FFFFFF"/>
        </w:rPr>
        <w:t>万元。</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支出情况。</w:t>
      </w:r>
      <w:r>
        <w:rPr>
          <w:rFonts w:hint="eastAsia" w:ascii="宋体" w:hAnsi="宋体" w:eastAsia="方正仿宋_GBK" w:cs="方正仿宋_GBK"/>
          <w:b w:val="0"/>
          <w:bCs w:val="0"/>
          <w:sz w:val="32"/>
          <w:szCs w:val="32"/>
          <w:lang w:val="en-US" w:eastAsia="zh-CN"/>
        </w:rPr>
        <w:t>2024年度本年支出合计</w:t>
      </w:r>
      <w:r>
        <w:rPr>
          <w:rFonts w:ascii="方正仿宋_GBK" w:hAnsi="方正仿宋_GBK" w:eastAsia="方正仿宋_GBK" w:cs="方正仿宋_GBK"/>
          <w:sz w:val="32"/>
          <w:szCs w:val="32"/>
        </w:rPr>
        <w:t>127.39</w:t>
      </w:r>
      <w:r>
        <w:rPr>
          <w:rFonts w:hint="eastAsia" w:ascii="宋体" w:hAnsi="宋体" w:eastAsia="方正仿宋_GBK" w:cs="方正仿宋_GBK"/>
          <w:b w:val="0"/>
          <w:bCs w:val="0"/>
          <w:sz w:val="32"/>
          <w:szCs w:val="32"/>
          <w:lang w:val="en-US" w:eastAsia="zh-CN"/>
        </w:rPr>
        <w:t>万元，</w:t>
      </w:r>
      <w:r>
        <w:rPr>
          <w:rFonts w:hint="eastAsia" w:ascii="宋体" w:hAnsi="宋体" w:eastAsia="方正仿宋_GBK" w:cs="方正仿宋_GBK"/>
          <w:sz w:val="32"/>
        </w:rPr>
        <w:t>较</w:t>
      </w:r>
      <w:r>
        <w:rPr>
          <w:rFonts w:hint="eastAsia" w:ascii="宋体" w:hAnsi="宋体" w:eastAsia="方正仿宋_GBK" w:cs="方正仿宋_GBK"/>
          <w:sz w:val="32"/>
          <w:lang w:val="en-US" w:eastAsia="zh-CN"/>
        </w:rPr>
        <w:t>上年</w:t>
      </w:r>
      <w:r>
        <w:rPr>
          <w:rFonts w:ascii="方正仿宋_GBK" w:hAnsi="方正仿宋_GBK" w:eastAsia="方正仿宋_GBK" w:cs="方正仿宋_GBK"/>
          <w:sz w:val="32"/>
          <w:szCs w:val="32"/>
          <w:shd w:val="clear" w:color="auto" w:fill="FFFFFF"/>
        </w:rPr>
        <w:t>减少7.96</w:t>
      </w:r>
      <w:r>
        <w:rPr>
          <w:rFonts w:hint="eastAsia" w:ascii="宋体" w:hAnsi="宋体" w:eastAsia="方正仿宋_GBK" w:cs="方正仿宋_GBK"/>
          <w:sz w:val="32"/>
        </w:rPr>
        <w:t>万元，</w:t>
      </w:r>
      <w:r>
        <w:rPr>
          <w:rFonts w:ascii="方正仿宋_GBK" w:hAnsi="方正仿宋_GBK" w:eastAsia="方正仿宋_GBK" w:cs="方正仿宋_GBK"/>
          <w:sz w:val="32"/>
          <w:szCs w:val="32"/>
          <w:shd w:val="clear" w:color="auto" w:fill="FFFFFF"/>
        </w:rPr>
        <w:t>下降5.88%</w:t>
      </w:r>
      <w:r>
        <w:rPr>
          <w:rFonts w:hint="eastAsia" w:ascii="宋体" w:hAnsi="宋体" w:eastAsia="方正仿宋_GBK" w:cs="方正仿宋_GBK"/>
          <w:b w:val="0"/>
          <w:bCs w:val="0"/>
          <w:sz w:val="32"/>
          <w:szCs w:val="32"/>
          <w:lang w:val="en-US" w:eastAsia="zh-CN"/>
        </w:rPr>
        <w:t>，</w:t>
      </w:r>
      <w:r>
        <w:rPr>
          <w:rFonts w:hint="eastAsia" w:ascii="宋体" w:hAnsi="宋体" w:eastAsia="方正仿宋_GBK" w:cs="方正仿宋_GBK"/>
          <w:sz w:val="32"/>
        </w:rPr>
        <w:t>主要</w:t>
      </w:r>
      <w:r>
        <w:rPr>
          <w:rFonts w:hint="eastAsia" w:ascii="宋体" w:hAnsi="宋体" w:eastAsia="方正仿宋_GBK" w:cs="方正仿宋_GBK"/>
          <w:sz w:val="32"/>
          <w:lang w:val="en-US" w:eastAsia="zh-CN"/>
        </w:rPr>
        <w:t>原因为本年度</w:t>
      </w:r>
      <w:r>
        <w:rPr>
          <w:rFonts w:hint="eastAsia" w:ascii="仿宋_GB2312" w:hAnsi="仿宋" w:eastAsia="仿宋_GB2312" w:cs="仿宋"/>
          <w:bCs/>
          <w:sz w:val="32"/>
          <w:szCs w:val="32"/>
          <w:lang w:val="en-US" w:eastAsia="zh-CN"/>
        </w:rPr>
        <w:t>减少了工业发展管理经费等项目资金支出</w:t>
      </w:r>
      <w:r>
        <w:rPr>
          <w:rFonts w:hint="eastAsia" w:ascii="宋体" w:hAnsi="宋体" w:eastAsia="方正仿宋_GBK" w:cs="方正仿宋_GBK"/>
          <w:sz w:val="32"/>
          <w:lang w:val="en-US" w:eastAsia="zh-CN"/>
        </w:rPr>
        <w:t>。</w:t>
      </w:r>
      <w:r>
        <w:rPr>
          <w:rFonts w:hint="eastAsia" w:ascii="宋体" w:hAnsi="宋体" w:eastAsia="方正仿宋_GBK" w:cs="方正仿宋_GBK"/>
          <w:b w:val="0"/>
          <w:bCs w:val="0"/>
          <w:sz w:val="32"/>
          <w:szCs w:val="32"/>
          <w:lang w:val="en-US" w:eastAsia="zh-CN"/>
        </w:rPr>
        <w:t>其中：基本支出</w:t>
      </w:r>
      <w:r>
        <w:rPr>
          <w:rFonts w:ascii="方正仿宋_GBK" w:hAnsi="方正仿宋_GBK" w:eastAsia="方正仿宋_GBK" w:cs="方正仿宋_GBK"/>
          <w:sz w:val="32"/>
          <w:szCs w:val="32"/>
        </w:rPr>
        <w:t>125.39</w:t>
      </w:r>
      <w:r>
        <w:rPr>
          <w:rFonts w:hint="eastAsia" w:ascii="宋体" w:hAnsi="宋体" w:eastAsia="方正仿宋_GBK" w:cs="方正仿宋_GBK"/>
          <w:b w:val="0"/>
          <w:bCs w:val="0"/>
          <w:sz w:val="32"/>
          <w:szCs w:val="32"/>
          <w:lang w:val="en-US" w:eastAsia="zh-CN"/>
        </w:rPr>
        <w:t>万元，占比</w:t>
      </w:r>
      <w:r>
        <w:rPr>
          <w:rFonts w:ascii="方正仿宋_GBK" w:hAnsi="方正仿宋_GBK" w:eastAsia="方正仿宋_GBK" w:cs="方正仿宋_GBK"/>
          <w:sz w:val="32"/>
          <w:szCs w:val="32"/>
          <w:shd w:val="clear" w:color="auto" w:fill="FFFFFF"/>
        </w:rPr>
        <w:t>98.43</w:t>
      </w:r>
      <w:r>
        <w:rPr>
          <w:rFonts w:hint="eastAsia" w:ascii="宋体" w:hAnsi="宋体" w:eastAsia="方正仿宋_GBK" w:cs="方正仿宋_GBK"/>
          <w:b w:val="0"/>
          <w:bCs w:val="0"/>
          <w:sz w:val="32"/>
          <w:szCs w:val="32"/>
          <w:lang w:val="en-US" w:eastAsia="zh-CN"/>
        </w:rPr>
        <w:t>%；项目支出</w:t>
      </w:r>
      <w:r>
        <w:rPr>
          <w:rFonts w:ascii="方正仿宋_GBK" w:hAnsi="方正仿宋_GBK" w:eastAsia="方正仿宋_GBK" w:cs="方正仿宋_GBK"/>
          <w:sz w:val="32"/>
          <w:szCs w:val="32"/>
        </w:rPr>
        <w:t>2.00</w:t>
      </w:r>
      <w:r>
        <w:rPr>
          <w:rFonts w:hint="eastAsia" w:ascii="宋体" w:hAnsi="宋体" w:eastAsia="方正仿宋_GBK" w:cs="方正仿宋_GBK"/>
          <w:b w:val="0"/>
          <w:bCs w:val="0"/>
          <w:sz w:val="32"/>
          <w:szCs w:val="32"/>
          <w:lang w:val="en-US" w:eastAsia="zh-CN"/>
        </w:rPr>
        <w:t>万元，占比</w:t>
      </w:r>
      <w:r>
        <w:rPr>
          <w:rFonts w:ascii="方正仿宋_GBK" w:hAnsi="方正仿宋_GBK" w:eastAsia="方正仿宋_GBK" w:cs="方正仿宋_GBK"/>
          <w:sz w:val="32"/>
          <w:szCs w:val="32"/>
          <w:shd w:val="clear" w:color="auto" w:fill="FFFFFF"/>
        </w:rPr>
        <w:t>1.57</w:t>
      </w:r>
      <w:r>
        <w:rPr>
          <w:rFonts w:hint="eastAsia" w:ascii="宋体" w:hAnsi="宋体" w:eastAsia="方正仿宋_GBK" w:cs="方正仿宋_GBK"/>
          <w:b w:val="0"/>
          <w:bCs w:val="0"/>
          <w:sz w:val="32"/>
          <w:szCs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b/>
          <w:bCs/>
          <w:sz w:val="32"/>
          <w:szCs w:val="32"/>
          <w:lang w:val="en-US" w:eastAsia="zh-CN"/>
        </w:rPr>
        <w:t>结转结余情况。</w:t>
      </w:r>
      <w:r>
        <w:rPr>
          <w:rFonts w:hint="eastAsia" w:ascii="宋体" w:hAnsi="宋体" w:eastAsia="方正仿宋_GBK" w:cs="方正仿宋_GBK"/>
          <w:b w:val="0"/>
          <w:bCs w:val="0"/>
          <w:sz w:val="32"/>
          <w:szCs w:val="32"/>
          <w:lang w:val="en-US" w:eastAsia="zh-CN"/>
        </w:rPr>
        <w:t>2024年度年末结转和结余0.00万元，与2023年度持平</w:t>
      </w:r>
      <w:r>
        <w:rPr>
          <w:rFonts w:hint="eastAsia" w:ascii="宋体" w:hAnsi="宋体" w:eastAsia="方正仿宋_GBK" w:cs="方正仿宋_GBK"/>
          <w:kern w:val="0"/>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财政拨款收支总体情况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lang w:val="en-US" w:eastAsia="zh-CN"/>
        </w:rPr>
      </w:pP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度财政拨款收、支总计127.39万元。</w:t>
      </w:r>
      <w:r>
        <w:rPr>
          <w:rFonts w:hint="eastAsia" w:ascii="方正仿宋_GBK" w:hAnsi="方正仿宋_GBK" w:eastAsia="方正仿宋_GBK" w:cs="方正仿宋_GBK"/>
          <w:sz w:val="32"/>
          <w:szCs w:val="32"/>
          <w:shd w:val="clear" w:color="auto" w:fill="FFFFFF"/>
          <w:lang w:val="en-US" w:eastAsia="zh-CN"/>
        </w:rPr>
        <w:t>较上年</w:t>
      </w:r>
      <w:r>
        <w:rPr>
          <w:rFonts w:ascii="方正仿宋_GBK" w:hAnsi="方正仿宋_GBK" w:eastAsia="方正仿宋_GBK" w:cs="方正仿宋_GBK"/>
          <w:sz w:val="32"/>
          <w:szCs w:val="32"/>
          <w:shd w:val="clear" w:color="auto" w:fill="FFFFFF"/>
        </w:rPr>
        <w:t>财政拨款收、支总计各减少7.96万元，下降5.88%。主要原因是</w:t>
      </w:r>
      <w:r>
        <w:rPr>
          <w:rFonts w:hint="eastAsia" w:ascii="仿宋_GB2312" w:hAnsi="仿宋" w:eastAsia="仿宋_GB2312" w:cs="仿宋"/>
          <w:bCs/>
          <w:sz w:val="32"/>
          <w:szCs w:val="32"/>
          <w:lang w:val="en-US" w:eastAsia="zh-CN"/>
        </w:rPr>
        <w:t>本年度收支中减少了工业发展管理经费等项目资金预算</w:t>
      </w:r>
      <w:r>
        <w:rPr>
          <w:rFonts w:hint="eastAsia" w:ascii="宋体" w:hAnsi="宋体" w:eastAsia="方正仿宋_GBK" w:cs="方正仿宋_GBK"/>
          <w:sz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一般公共预算财政拨款收支总体情况</w:t>
      </w:r>
    </w:p>
    <w:p>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收入情况。</w:t>
      </w:r>
      <w:r>
        <w:rPr>
          <w:rFonts w:hint="eastAsia" w:ascii="宋体" w:hAnsi="宋体" w:eastAsia="方正仿宋_GBK" w:cs="方正仿宋_GBK"/>
          <w:color w:val="auto"/>
          <w:sz w:val="32"/>
        </w:rPr>
        <w:t>202</w:t>
      </w:r>
      <w:r>
        <w:rPr>
          <w:rFonts w:hint="eastAsia" w:ascii="宋体" w:hAnsi="宋体" w:eastAsia="方正仿宋_GBK" w:cs="方正仿宋_GBK"/>
          <w:color w:val="auto"/>
          <w:sz w:val="32"/>
          <w:lang w:val="en-US" w:eastAsia="zh-CN"/>
        </w:rPr>
        <w:t>4</w:t>
      </w:r>
      <w:r>
        <w:rPr>
          <w:rFonts w:hint="eastAsia" w:ascii="宋体" w:hAnsi="宋体" w:eastAsia="方正仿宋_GBK" w:cs="方正仿宋_GBK"/>
          <w:color w:val="auto"/>
          <w:sz w:val="32"/>
        </w:rPr>
        <w:t>年度一般公共预算财政拨款收入</w:t>
      </w:r>
      <w:r>
        <w:rPr>
          <w:rFonts w:ascii="方正仿宋_GBK" w:hAnsi="方正仿宋_GBK" w:eastAsia="方正仿宋_GBK" w:cs="方正仿宋_GBK"/>
          <w:sz w:val="32"/>
          <w:szCs w:val="32"/>
        </w:rPr>
        <w:t>127.39</w:t>
      </w:r>
      <w:r>
        <w:rPr>
          <w:rFonts w:ascii="方正仿宋_GBK" w:hAnsi="方正仿宋_GBK" w:eastAsia="方正仿宋_GBK" w:cs="方正仿宋_GBK"/>
          <w:sz w:val="32"/>
          <w:szCs w:val="32"/>
          <w:shd w:val="clear" w:color="auto" w:fill="FFFFFF"/>
        </w:rPr>
        <w:t>万元，与2023年度相比，减少7.96万元，下降5.88%</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w:t>
      </w:r>
      <w:r>
        <w:rPr>
          <w:rFonts w:hint="eastAsia" w:ascii="宋体" w:hAnsi="宋体" w:eastAsia="方正仿宋_GBK" w:cs="方正仿宋_GBK"/>
          <w:color w:val="auto"/>
          <w:sz w:val="32"/>
          <w:lang w:val="en-US" w:eastAsia="zh-CN"/>
        </w:rPr>
        <w:t>为</w:t>
      </w:r>
      <w:r>
        <w:rPr>
          <w:rFonts w:hint="eastAsia" w:ascii="仿宋_GB2312" w:hAnsi="仿宋" w:eastAsia="仿宋_GB2312" w:cs="仿宋"/>
          <w:bCs/>
          <w:sz w:val="32"/>
          <w:szCs w:val="32"/>
          <w:lang w:val="en-US" w:eastAsia="zh-CN"/>
        </w:rPr>
        <w:t>本年度减少了工业发展管理经费等项目资金预算</w:t>
      </w:r>
      <w:r>
        <w:rPr>
          <w:rFonts w:hint="eastAsia" w:ascii="宋体" w:hAnsi="宋体" w:eastAsia="方正仿宋_GBK" w:cs="方正仿宋_GBK"/>
          <w:color w:val="auto"/>
          <w:sz w:val="32"/>
          <w:lang w:val="en-US" w:eastAsia="zh-CN"/>
        </w:rPr>
        <w:t>。较年初预算数增加</w:t>
      </w:r>
      <w:r>
        <w:rPr>
          <w:rFonts w:ascii="方正仿宋_GBK" w:hAnsi="方正仿宋_GBK" w:eastAsia="方正仿宋_GBK" w:cs="方正仿宋_GBK"/>
          <w:sz w:val="32"/>
          <w:szCs w:val="32"/>
          <w:shd w:val="clear" w:color="auto" w:fill="FFFFFF"/>
        </w:rPr>
        <w:t>4.14万元，增长3.36%</w:t>
      </w:r>
      <w:r>
        <w:rPr>
          <w:rFonts w:hint="eastAsia" w:ascii="宋体" w:hAnsi="宋体" w:eastAsia="方正仿宋_GBK" w:cs="方正仿宋_GBK"/>
          <w:color w:val="auto"/>
          <w:sz w:val="32"/>
          <w:lang w:val="en-US" w:eastAsia="zh-CN"/>
        </w:rPr>
        <w:t>，主要原因是本年度养老保险等社保基数调标，造成基本支出预算增加较多。</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lang w:val="en-US" w:eastAsia="zh-CN"/>
        </w:rPr>
        <w:t>0.00</w:t>
      </w:r>
      <w:r>
        <w:rPr>
          <w:rFonts w:ascii="方正仿宋_GBK" w:hAnsi="方正仿宋_GBK" w:eastAsia="方正仿宋_GBK" w:cs="方正仿宋_GBK"/>
          <w:sz w:val="32"/>
          <w:szCs w:val="32"/>
          <w:shd w:val="clear" w:color="auto" w:fill="FFFFFF"/>
        </w:rPr>
        <w:t>万元。</w:t>
      </w:r>
    </w:p>
    <w:p>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支出情况。</w:t>
      </w:r>
      <w:r>
        <w:rPr>
          <w:rFonts w:hint="eastAsia" w:ascii="宋体" w:hAnsi="宋体" w:eastAsia="方正仿宋_GBK" w:cs="方正仿宋_GBK"/>
          <w:color w:val="auto"/>
          <w:sz w:val="32"/>
          <w:lang w:val="en-US" w:eastAsia="zh-CN"/>
        </w:rPr>
        <w:t>2024年度一般公共预算财政拨款支出</w:t>
      </w:r>
      <w:r>
        <w:rPr>
          <w:rFonts w:ascii="方正仿宋_GBK" w:hAnsi="方正仿宋_GBK" w:eastAsia="方正仿宋_GBK" w:cs="方正仿宋_GBK"/>
          <w:sz w:val="32"/>
          <w:szCs w:val="32"/>
        </w:rPr>
        <w:t>127.39</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val="en-US" w:eastAsia="zh-CN"/>
        </w:rPr>
        <w:t>较上年</w:t>
      </w:r>
      <w:r>
        <w:rPr>
          <w:rFonts w:ascii="方正仿宋_GBK" w:hAnsi="方正仿宋_GBK" w:eastAsia="方正仿宋_GBK" w:cs="方正仿宋_GBK"/>
          <w:sz w:val="32"/>
          <w:szCs w:val="32"/>
          <w:shd w:val="clear" w:color="auto" w:fill="FFFFFF"/>
        </w:rPr>
        <w:t>减少7.96万元，下降5.88%</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主要原因是</w:t>
      </w:r>
      <w:r>
        <w:rPr>
          <w:rFonts w:hint="eastAsia" w:ascii="宋体" w:hAnsi="宋体" w:eastAsia="方正仿宋_GBK" w:cs="方正仿宋_GBK"/>
          <w:sz w:val="32"/>
          <w:lang w:val="en-US" w:eastAsia="zh-CN"/>
        </w:rPr>
        <w:t>本年度</w:t>
      </w:r>
      <w:r>
        <w:rPr>
          <w:rFonts w:hint="eastAsia" w:ascii="仿宋_GB2312" w:hAnsi="仿宋" w:eastAsia="仿宋_GB2312" w:cs="仿宋"/>
          <w:bCs/>
          <w:sz w:val="32"/>
          <w:szCs w:val="32"/>
          <w:lang w:val="en-US" w:eastAsia="zh-CN"/>
        </w:rPr>
        <w:t>减少了工业发展管理经费等项目资金支出</w:t>
      </w:r>
      <w:r>
        <w:rPr>
          <w:rFonts w:hint="eastAsia" w:ascii="宋体" w:hAnsi="宋体" w:eastAsia="方正仿宋_GBK" w:cs="方正仿宋_GBK"/>
          <w:color w:val="auto"/>
          <w:sz w:val="32"/>
          <w:lang w:val="en-US" w:eastAsia="zh-CN"/>
        </w:rPr>
        <w:t>。较年初预算数增加</w:t>
      </w:r>
      <w:r>
        <w:rPr>
          <w:rFonts w:ascii="方正仿宋_GBK" w:hAnsi="方正仿宋_GBK" w:eastAsia="方正仿宋_GBK" w:cs="方正仿宋_GBK"/>
          <w:sz w:val="32"/>
          <w:szCs w:val="32"/>
          <w:shd w:val="clear" w:color="auto" w:fill="FFFFFF"/>
        </w:rPr>
        <w:t>4.14万元，增长3.36%</w:t>
      </w:r>
      <w:r>
        <w:rPr>
          <w:rFonts w:hint="eastAsia" w:ascii="宋体" w:hAnsi="宋体" w:eastAsia="方正仿宋_GBK" w:cs="方正仿宋_GBK"/>
          <w:color w:val="auto"/>
          <w:sz w:val="32"/>
          <w:lang w:val="en-US" w:eastAsia="zh-CN"/>
        </w:rPr>
        <w:t>，主要原因是本年度养老保险等社保基数调标，造成社保支出增加较多。</w:t>
      </w:r>
    </w:p>
    <w:p>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color w:val="auto"/>
          <w:sz w:val="32"/>
          <w:lang w:val="en-US" w:eastAsia="zh-CN"/>
        </w:rPr>
        <w:t>结转结余情况。</w:t>
      </w: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万元，与2023年度</w:t>
      </w:r>
      <w:r>
        <w:rPr>
          <w:rFonts w:hint="eastAsia" w:ascii="方正仿宋_GBK" w:hAnsi="方正仿宋_GBK" w:eastAsia="方正仿宋_GBK" w:cs="方正仿宋_GBK"/>
          <w:sz w:val="32"/>
          <w:szCs w:val="32"/>
          <w:shd w:val="clear" w:color="auto" w:fill="FFFFFF"/>
          <w:lang w:val="en-US" w:eastAsia="zh-CN"/>
        </w:rPr>
        <w:t>持平。</w:t>
      </w:r>
    </w:p>
    <w:p>
      <w:pPr>
        <w:pStyle w:val="5"/>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b/>
          <w:bCs/>
          <w:kern w:val="2"/>
          <w:sz w:val="32"/>
          <w:szCs w:val="22"/>
          <w:lang w:val="en-US" w:eastAsia="zh-CN" w:bidi="ar-SA"/>
        </w:rPr>
        <w:t>比较情况。</w:t>
      </w:r>
      <w:r>
        <w:rPr>
          <w:rFonts w:hint="eastAsia" w:ascii="宋体" w:hAnsi="宋体" w:eastAsia="方正仿宋_GBK" w:cs="方正仿宋_GBK"/>
          <w:color w:val="auto"/>
          <w:sz w:val="32"/>
          <w:lang w:val="en-US" w:eastAsia="zh-CN"/>
        </w:rPr>
        <w:t>本部门2024年度一般公共预算财政拨款支出主要用于以下几个方面：</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%，较年初预算数减少0.65万元，下降100.00%，主要原因是</w:t>
      </w:r>
      <w:r>
        <w:rPr>
          <w:rFonts w:hint="eastAsia" w:ascii="方正仿宋_GBK" w:hAnsi="方正仿宋_GBK" w:eastAsia="方正仿宋_GBK" w:cs="方正仿宋_GBK"/>
          <w:sz w:val="32"/>
          <w:szCs w:val="32"/>
          <w:shd w:val="clear" w:color="auto" w:fill="FFFFFF"/>
          <w:lang w:val="en-US" w:eastAsia="zh-CN"/>
        </w:rPr>
        <w:t>本年根据过紧日子文件要求，严控培训等费用支出。</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15.48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12.15</w:t>
      </w:r>
      <w:r>
        <w:rPr>
          <w:rFonts w:ascii="方正仿宋_GBK" w:hAnsi="方正仿宋_GBK" w:eastAsia="方正仿宋_GBK" w:cs="方正仿宋_GBK"/>
          <w:sz w:val="32"/>
          <w:szCs w:val="32"/>
          <w:shd w:val="clear" w:color="auto" w:fill="FFFFFF"/>
        </w:rPr>
        <w:t>%，较年初预算数增加5.13万元，增长49.57%，主要原因是</w:t>
      </w:r>
      <w:r>
        <w:rPr>
          <w:rFonts w:hint="eastAsia" w:ascii="宋体" w:hAnsi="宋体" w:eastAsia="方正仿宋_GBK" w:cs="方正仿宋_GBK"/>
          <w:color w:val="auto"/>
          <w:sz w:val="32"/>
          <w:lang w:val="en-US" w:eastAsia="zh-CN"/>
        </w:rPr>
        <w:t>年度养老保险等社保基数调标，造成社保支出增加较多。</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6.18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4.85</w:t>
      </w:r>
      <w:r>
        <w:rPr>
          <w:rFonts w:ascii="方正仿宋_GBK" w:hAnsi="方正仿宋_GBK" w:eastAsia="方正仿宋_GBK" w:cs="方正仿宋_GBK"/>
          <w:sz w:val="32"/>
          <w:szCs w:val="32"/>
          <w:shd w:val="clear" w:color="auto" w:fill="FFFFFF"/>
        </w:rPr>
        <w:t>%，较年初预算数</w:t>
      </w:r>
      <w:r>
        <w:rPr>
          <w:rFonts w:hint="eastAsia" w:ascii="方正仿宋_GBK" w:hAnsi="方正仿宋_GBK" w:eastAsia="方正仿宋_GBK" w:cs="方正仿宋_GBK"/>
          <w:sz w:val="32"/>
          <w:szCs w:val="32"/>
          <w:shd w:val="clear" w:color="auto" w:fill="FFFFFF"/>
          <w:lang w:val="en-US" w:eastAsia="zh-CN"/>
        </w:rPr>
        <w:t>基本持平。</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（4）资源勘探信息等支出</w:t>
      </w:r>
      <w:r>
        <w:rPr>
          <w:rFonts w:ascii="方正仿宋_GBK" w:hAnsi="方正仿宋_GBK" w:eastAsia="方正仿宋_GBK" w:cs="方正仿宋_GBK"/>
          <w:sz w:val="32"/>
          <w:szCs w:val="32"/>
        </w:rPr>
        <w:t>100.55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78.93</w:t>
      </w:r>
      <w:r>
        <w:rPr>
          <w:rFonts w:ascii="方正仿宋_GBK" w:hAnsi="方正仿宋_GBK" w:eastAsia="方正仿宋_GBK" w:cs="方正仿宋_GBK"/>
          <w:sz w:val="32"/>
          <w:szCs w:val="32"/>
          <w:shd w:val="clear" w:color="auto" w:fill="FFFFFF"/>
        </w:rPr>
        <w:t>%，较年初预算数</w:t>
      </w:r>
      <w:r>
        <w:rPr>
          <w:rFonts w:hint="eastAsia" w:ascii="方正仿宋_GBK" w:hAnsi="方正仿宋_GBK" w:eastAsia="方正仿宋_GBK" w:cs="方正仿宋_GBK"/>
          <w:sz w:val="32"/>
          <w:szCs w:val="32"/>
          <w:shd w:val="clear" w:color="auto" w:fill="FFFFFF"/>
          <w:lang w:val="en-US" w:eastAsia="zh-CN"/>
        </w:rPr>
        <w:t>基本持平。</w:t>
      </w:r>
    </w:p>
    <w:p>
      <w:pPr>
        <w:ind w:firstLine="640" w:firstLineChars="200"/>
        <w:rPr>
          <w:rFonts w:hint="eastAsia" w:ascii="方正仿宋_GBK" w:hAnsi="方正仿宋_GBK" w:eastAsia="方正仿宋_GBK" w:cs="方正仿宋_GBK"/>
          <w:color w:val="FF0000"/>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住房保障支出5.18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4.06</w:t>
      </w:r>
      <w:r>
        <w:rPr>
          <w:rFonts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Style w:val="14"/>
          <w:rFonts w:hint="eastAsia" w:ascii="宋体" w:hAnsi="宋体" w:eastAsia="方正楷体_GBK" w:cs="方正楷体_GBK"/>
          <w:b w:val="0"/>
          <w:bCs/>
          <w:kern w:val="2"/>
          <w:sz w:val="32"/>
          <w:szCs w:val="32"/>
          <w:shd w:val="clear" w:color="auto" w:fill="FFFFFF"/>
          <w:lang w:val="en-US" w:eastAsia="zh-CN" w:bidi="ar-SA"/>
        </w:rPr>
        <w:t>一般公共预算财政拨款基本支出情况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2024年度一般公共预算财政拨款基本支出</w:t>
      </w:r>
      <w:r>
        <w:rPr>
          <w:rFonts w:ascii="方正仿宋_GBK" w:hAnsi="方正仿宋_GBK" w:eastAsia="方正仿宋_GBK" w:cs="方正仿宋_GBK"/>
          <w:sz w:val="32"/>
          <w:szCs w:val="32"/>
        </w:rPr>
        <w:t>125.39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114.13</w:t>
      </w:r>
      <w:r>
        <w:rPr>
          <w:rFonts w:ascii="方正仿宋_GBK" w:hAnsi="方正仿宋_GBK" w:eastAsia="方正仿宋_GBK" w:cs="方正仿宋_GBK"/>
          <w:sz w:val="32"/>
          <w:szCs w:val="32"/>
          <w:shd w:val="clear" w:color="auto" w:fill="FFFFFF"/>
        </w:rPr>
        <w:t>万元，与2023年度相比，增加15.42万元，增长15.62%，主要原因</w:t>
      </w:r>
      <w:r>
        <w:rPr>
          <w:rFonts w:hint="eastAsia" w:ascii="方正仿宋_GBK" w:hAnsi="方正仿宋_GBK" w:eastAsia="方正仿宋_GBK" w:cs="方正仿宋_GBK"/>
          <w:sz w:val="32"/>
          <w:szCs w:val="32"/>
          <w:shd w:val="clear" w:color="auto" w:fill="FFFFFF"/>
          <w:lang w:val="en-US" w:eastAsia="zh-CN"/>
        </w:rPr>
        <w:t>一是本年度养老保险等社保基数调标增加，造成社保支出增加；二是与去年相比，公积金精算完成，公积金支出增加</w:t>
      </w:r>
      <w:r>
        <w:rPr>
          <w:rFonts w:hint="eastAsia" w:ascii="宋体" w:hAnsi="宋体" w:eastAsia="方正仿宋_GBK" w:cs="方正仿宋_GBK"/>
          <w:color w:val="auto"/>
          <w:sz w:val="32"/>
          <w:lang w:val="en-US" w:eastAsia="zh-CN"/>
        </w:rPr>
        <w:t>。公用经费</w:t>
      </w:r>
      <w:r>
        <w:rPr>
          <w:rFonts w:ascii="方正仿宋_GBK" w:hAnsi="方正仿宋_GBK" w:eastAsia="方正仿宋_GBK" w:cs="方正仿宋_GBK"/>
          <w:sz w:val="32"/>
          <w:szCs w:val="32"/>
        </w:rPr>
        <w:t>11.26</w:t>
      </w:r>
      <w:r>
        <w:rPr>
          <w:rFonts w:ascii="方正仿宋_GBK" w:hAnsi="方正仿宋_GBK" w:eastAsia="方正仿宋_GBK" w:cs="方正仿宋_GBK"/>
          <w:sz w:val="32"/>
          <w:szCs w:val="32"/>
          <w:shd w:val="clear" w:color="auto" w:fill="FFFFFF"/>
        </w:rPr>
        <w:t>万元，与2023年度相比，减少9.15万元，下降44.83%，主要原因是</w:t>
      </w:r>
      <w:r>
        <w:rPr>
          <w:rFonts w:hint="eastAsia" w:ascii="方正仿宋_GBK" w:hAnsi="方正仿宋_GBK" w:eastAsia="方正仿宋_GBK" w:cs="方正仿宋_GBK"/>
          <w:sz w:val="32"/>
          <w:szCs w:val="32"/>
          <w:shd w:val="clear" w:color="auto" w:fill="FFFFFF"/>
          <w:lang w:val="en-US" w:eastAsia="zh-CN"/>
        </w:rPr>
        <w:t>本年度按过紧日子文件要求，一是缩减公用经费预算支出；二是严控各项日常费用支出</w:t>
      </w:r>
      <w:r>
        <w:rPr>
          <w:rFonts w:hint="eastAsia" w:ascii="宋体" w:hAnsi="宋体" w:eastAsia="方正仿宋_GBK" w:cs="方正仿宋_GBK"/>
          <w:color w:val="auto"/>
          <w:sz w:val="32"/>
          <w:lang w:val="en-US" w:eastAsia="zh-CN"/>
        </w:rPr>
        <w:t>。</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（五）政府性基金预算收支决算情况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度无政府性基金预算财政拨款收支</w:t>
      </w:r>
      <w:r>
        <w:rPr>
          <w:rFonts w:hint="eastAsia" w:ascii="方正仿宋_GBK" w:hAnsi="方正仿宋_GBK" w:eastAsia="方正仿宋_GBK" w:cs="方正仿宋_GBK"/>
          <w:color w:val="auto"/>
          <w:sz w:val="32"/>
          <w:szCs w:val="32"/>
          <w:shd w:val="clear" w:color="auto" w:fill="FFFFFF"/>
          <w:lang w:eastAsia="zh-CN"/>
        </w:rPr>
        <w:t>。</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（六）国有资本经营预算财政拨款支出决算情况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度无国有资本经营预算财政拨款支出。</w:t>
      </w:r>
    </w:p>
    <w:p>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三、</w:t>
      </w:r>
      <w:r>
        <w:rPr>
          <w:rStyle w:val="14"/>
          <w:rFonts w:hint="eastAsia" w:ascii="宋体" w:hAnsi="宋体" w:eastAsia="方正黑体_GBK" w:cs="方正黑体_GBK"/>
          <w:b w:val="0"/>
          <w:sz w:val="32"/>
          <w:szCs w:val="32"/>
          <w:shd w:val="clear" w:color="auto" w:fill="FFFFFF"/>
        </w:rPr>
        <w:t>“三公”经费情况</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（一）“三公”经费支出总体情况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2024年度“三公”经费支出共计</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万元，较年初预算数减少0.10万元，下降100.00%，</w:t>
      </w:r>
      <w:r>
        <w:rPr>
          <w:rFonts w:hint="eastAsia" w:ascii="方正仿宋_GBK" w:hAnsi="方正仿宋_GBK" w:eastAsia="方正仿宋_GBK" w:cs="方正仿宋_GBK"/>
          <w:sz w:val="32"/>
          <w:szCs w:val="32"/>
          <w:shd w:val="clear" w:color="auto" w:fill="FFFFFF"/>
          <w:lang w:val="en-US" w:eastAsia="zh-CN"/>
        </w:rPr>
        <w:t>主要原因是本年按过紧日子文件要求，严控三公经费支出</w:t>
      </w:r>
      <w:r>
        <w:rPr>
          <w:rFonts w:hint="eastAsia" w:ascii="宋体" w:hAnsi="宋体" w:eastAsia="方正仿宋_GBK" w:cs="方正仿宋_GBK"/>
          <w:color w:val="auto"/>
          <w:sz w:val="32"/>
          <w:lang w:val="en-US" w:eastAsia="zh-CN"/>
        </w:rPr>
        <w:t>。支出数较上年持平。</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（二）“三公”经费分项支出情况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因公出国（境）费用0.00万元。费用支出较年初预算数、上年支出数持平。</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公务车购置费用0.00万元，费用支出较年初预算数、上年支出数持平。</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公车运行维护费支出0.00万元，费用支出较年初预算数、上年支出数持平。本单位没有公务车，暂无公车运行维护费支出。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公务接待费0.00万元。费用支出较年初预算数减少0.01万元，</w:t>
      </w:r>
      <w:r>
        <w:rPr>
          <w:rFonts w:ascii="方正仿宋_GBK" w:hAnsi="方正仿宋_GBK" w:eastAsia="方正仿宋_GBK" w:cs="方正仿宋_GBK"/>
          <w:sz w:val="32"/>
          <w:szCs w:val="32"/>
          <w:shd w:val="clear" w:color="auto" w:fill="FFFFFF"/>
        </w:rPr>
        <w:t>下降100.00%</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原因是本年按过紧日子文件要求，严控三公经费支出</w:t>
      </w:r>
      <w:r>
        <w:rPr>
          <w:rFonts w:hint="eastAsia" w:ascii="宋体" w:hAnsi="宋体" w:eastAsia="方正仿宋_GBK" w:cs="方正仿宋_GBK"/>
          <w:color w:val="auto"/>
          <w:sz w:val="32"/>
          <w:lang w:val="en-US"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（三）“三公”经费实物量情况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本部门因公出国（境）共计0个团组，0人；公务用车购置0辆，公务车保有量为0辆；国内公务接待0批次0人，其中：国内外事接待0批次，0人；国（境）外公务接待0批次，0人。人均接待费0.00元，车均购置费0.00万元，车均维护费0.00万元。</w:t>
      </w:r>
    </w:p>
    <w:p>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四、</w:t>
      </w:r>
      <w:r>
        <w:rPr>
          <w:rStyle w:val="14"/>
          <w:rFonts w:hint="eastAsia" w:ascii="宋体" w:hAnsi="宋体" w:eastAsia="方正黑体_GBK" w:cs="方正黑体_GBK"/>
          <w:b w:val="0"/>
          <w:sz w:val="32"/>
          <w:szCs w:val="32"/>
          <w:shd w:val="clear" w:color="auto" w:fill="FFFFFF"/>
        </w:rPr>
        <w:t>其他需要说明的事项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（一）财政拨款会议费和培训费情况</w:t>
      </w:r>
    </w:p>
    <w:p>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方正仿宋_GBK" w:hAnsi="方正仿宋_GBK" w:eastAsia="方正仿宋_GBK" w:cs="方正仿宋_GBK"/>
          <w:color w:val="FF0000"/>
          <w:sz w:val="32"/>
          <w:szCs w:val="32"/>
          <w:lang w:val="en-US" w:eastAsia="zh-CN"/>
        </w:rPr>
      </w:pPr>
      <w:r>
        <w:rPr>
          <w:rFonts w:hint="eastAsia" w:ascii="方正仿宋_GBK" w:hAnsi="方正仿宋_GBK" w:eastAsia="方正仿宋_GBK" w:cs="方正仿宋_GBK"/>
          <w:sz w:val="32"/>
          <w:szCs w:val="32"/>
          <w:shd w:val="clear" w:color="auto" w:fill="FFFFFF"/>
          <w:lang w:val="en-US" w:eastAsia="zh-CN"/>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lang w:val="en-US" w:eastAsia="zh-CN"/>
        </w:rPr>
        <w:t>0.00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无增减</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lang w:val="en-US" w:eastAsia="zh-CN"/>
        </w:rPr>
        <w:t>0.00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无增减</w:t>
      </w:r>
      <w:r>
        <w:rPr>
          <w:rFonts w:ascii="方正仿宋_GBK" w:hAnsi="方正仿宋_GBK" w:eastAsia="方正仿宋_GBK" w:cs="方正仿宋_GBK"/>
          <w:sz w:val="32"/>
          <w:szCs w:val="32"/>
          <w:shd w:val="clear" w:color="auto" w:fill="FFFFFF"/>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（二）机关运行经费情况</w:t>
      </w:r>
    </w:p>
    <w:p>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年度本部门按照部门决算列报口径，我单位不在机关运行经费统计范围之内</w:t>
      </w:r>
      <w:r>
        <w:rPr>
          <w:rFonts w:hint="eastAsia" w:ascii="宋体" w:hAnsi="宋体" w:eastAsia="方正仿宋_GBK" w:cs="方正仿宋_GBK"/>
          <w:kern w:val="0"/>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kern w:val="0"/>
          <w:sz w:val="32"/>
          <w:szCs w:val="32"/>
          <w:lang w:val="en-US" w:eastAsia="zh-CN" w:bidi="ar-SA"/>
        </w:rPr>
      </w:pPr>
      <w:r>
        <w:rPr>
          <w:rFonts w:hint="eastAsia" w:ascii="宋体" w:hAnsi="宋体" w:eastAsia="方正仿宋_GBK" w:cs="方正仿宋_GBK"/>
          <w:kern w:val="0"/>
          <w:sz w:val="32"/>
          <w:szCs w:val="32"/>
          <w:lang w:val="en-US" w:eastAsia="zh-CN" w:bidi="ar-SA"/>
        </w:rPr>
        <w:t>本年度无会议费支出，与上年持平。</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kern w:val="0"/>
          <w:sz w:val="32"/>
          <w:szCs w:val="32"/>
          <w:lang w:val="en-US" w:eastAsia="zh-CN" w:bidi="ar-SA"/>
        </w:rPr>
      </w:pPr>
      <w:r>
        <w:rPr>
          <w:rFonts w:hint="eastAsia" w:ascii="宋体" w:hAnsi="宋体" w:eastAsia="方正仿宋_GBK" w:cs="方正仿宋_GBK"/>
          <w:kern w:val="0"/>
          <w:sz w:val="32"/>
          <w:szCs w:val="32"/>
          <w:lang w:val="en-US" w:eastAsia="zh-CN" w:bidi="ar-SA"/>
        </w:rPr>
        <w:t>本年度无培训费支出，与上年持平。</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（三）国有资产占用情况说明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szCs w:val="32"/>
        </w:rPr>
        <w:t>截至202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年12月31日，本部门共有车辆</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辆。其中：副部（省）级及以上领导用车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辆，主要</w:t>
      </w:r>
      <w:r>
        <w:rPr>
          <w:rFonts w:hint="eastAsia" w:ascii="宋体" w:hAnsi="宋体" w:eastAsia="方正仿宋_GBK" w:cs="方正仿宋_GBK"/>
          <w:kern w:val="0"/>
          <w:sz w:val="32"/>
          <w:szCs w:val="32"/>
          <w:lang w:val="en-US" w:eastAsia="zh-CN"/>
        </w:rPr>
        <w:t>负责人</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辆，机要通信用车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辆，应急保障用车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辆，执法执勤用车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辆，特种专业技术用车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辆，离退休干部</w:t>
      </w:r>
      <w:r>
        <w:rPr>
          <w:rFonts w:hint="eastAsia" w:ascii="宋体" w:hAnsi="宋体" w:eastAsia="方正仿宋_GBK" w:cs="方正仿宋_GBK"/>
          <w:kern w:val="0"/>
          <w:sz w:val="32"/>
          <w:szCs w:val="32"/>
          <w:lang w:val="en-US" w:eastAsia="zh-CN"/>
        </w:rPr>
        <w:t>服务</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辆。单价100万元（含）以上设备</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不含车辆</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台（套）。</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（四）政府采购支出说明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年度我单位未发生政府采购事项，无相关经费支出。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outlineLvl w:val="0"/>
        <w:rPr>
          <w:rFonts w:hint="eastAsia" w:ascii="宋体" w:hAnsi="宋体" w:eastAsia="方正黑体_GBK" w:cs="方正黑体_GBK"/>
          <w:b w:val="0"/>
          <w:bCs/>
          <w:sz w:val="32"/>
          <w:szCs w:val="32"/>
          <w:lang w:eastAsia="zh-CN"/>
        </w:rPr>
      </w:pPr>
      <w:r>
        <w:rPr>
          <w:rStyle w:val="8"/>
          <w:rFonts w:hint="eastAsia" w:ascii="宋体" w:hAnsi="宋体" w:eastAsia="方正黑体_GBK" w:cs="方正黑体_GBK"/>
          <w:b w:val="0"/>
          <w:bCs/>
          <w:sz w:val="32"/>
          <w:szCs w:val="32"/>
          <w:shd w:val="clear" w:color="auto" w:fill="FFFFFF"/>
        </w:rPr>
        <w:t>五、预算绩效管理情况</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（一）预算绩效管理工作开展情况</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rPr>
      </w:pPr>
      <w:r>
        <w:rPr>
          <w:rFonts w:hint="eastAsia" w:ascii="宋体" w:hAnsi="宋体" w:eastAsia="方正仿宋_GBK" w:cs="方正仿宋_GBK"/>
          <w:kern w:val="0"/>
          <w:sz w:val="32"/>
          <w:szCs w:val="32"/>
        </w:rPr>
        <w:t>根据预算绩效管理要求，对部门</w:t>
      </w:r>
      <w:r>
        <w:rPr>
          <w:rFonts w:hint="eastAsia" w:ascii="宋体" w:hAnsi="宋体" w:eastAsia="方正仿宋_GBK" w:cs="方正仿宋_GBK"/>
          <w:kern w:val="0"/>
          <w:sz w:val="32"/>
          <w:szCs w:val="32"/>
          <w:lang w:val="en-US" w:eastAsia="zh-CN"/>
        </w:rPr>
        <w:t>1</w:t>
      </w:r>
      <w:r>
        <w:rPr>
          <w:rFonts w:hint="eastAsia" w:ascii="宋体" w:hAnsi="宋体" w:eastAsia="方正仿宋_GBK" w:cs="方正仿宋_GBK"/>
          <w:kern w:val="0"/>
          <w:sz w:val="32"/>
          <w:szCs w:val="32"/>
        </w:rPr>
        <w:t>个项目开展了绩效自评，其中，以填报目标自评表形式开展自评</w:t>
      </w:r>
      <w:r>
        <w:rPr>
          <w:rFonts w:hint="eastAsia" w:ascii="宋体" w:hAnsi="宋体" w:eastAsia="方正仿宋_GBK" w:cs="方正仿宋_GBK"/>
          <w:kern w:val="0"/>
          <w:sz w:val="32"/>
          <w:szCs w:val="32"/>
          <w:lang w:val="en-US" w:eastAsia="zh-CN"/>
        </w:rPr>
        <w:t>1</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2</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（二）绩效自评结果</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3" w:firstLineChars="200"/>
        <w:jc w:val="left"/>
        <w:textAlignment w:val="auto"/>
        <w:rPr>
          <w:rFonts w:hint="eastAsia" w:ascii="宋体" w:hAnsi="宋体" w:eastAsia="方正仿宋_GBK" w:cs="方正仿宋_GBK"/>
          <w:b/>
          <w:bCs/>
          <w:color w:val="auto"/>
          <w:sz w:val="32"/>
          <w:lang w:val="en-US" w:eastAsia="zh-CN"/>
        </w:rPr>
      </w:pPr>
      <w:r>
        <w:rPr>
          <w:rFonts w:hint="eastAsia" w:ascii="宋体" w:hAnsi="宋体" w:eastAsia="方正仿宋_GBK" w:cs="方正仿宋_GBK"/>
          <w:b/>
          <w:bCs/>
          <w:color w:val="auto"/>
          <w:sz w:val="32"/>
          <w:lang w:val="en-US" w:eastAsia="zh-CN"/>
        </w:rPr>
        <w:t>1. 绩效目标自评表（涉密）</w:t>
      </w:r>
    </w:p>
    <w:p>
      <w:pPr>
        <w:pStyle w:val="9"/>
        <w:keepNext w:val="0"/>
        <w:keepLines w:val="0"/>
        <w:pageBreakBefore w:val="0"/>
        <w:widowControl w:val="0"/>
        <w:numPr>
          <w:ilvl w:val="0"/>
          <w:numId w:val="6"/>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val="0"/>
          <w:kern w:val="0"/>
          <w:sz w:val="32"/>
          <w:szCs w:val="32"/>
        </w:rPr>
      </w:pPr>
      <w:r>
        <w:rPr>
          <w:rFonts w:hint="eastAsia" w:ascii="宋体" w:hAnsi="宋体" w:eastAsia="方正仿宋_GBK" w:cs="方正仿宋_GBK"/>
          <w:b/>
          <w:bCs w:val="0"/>
          <w:kern w:val="0"/>
          <w:sz w:val="32"/>
          <w:szCs w:val="32"/>
        </w:rPr>
        <w:t>绩效自评报告或案例</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本部门不存在委托第三方开展绩效自评的项目。</w:t>
      </w:r>
    </w:p>
    <w:p>
      <w:pPr>
        <w:pStyle w:val="9"/>
        <w:keepNext w:val="0"/>
        <w:keepLines w:val="0"/>
        <w:pageBreakBefore w:val="0"/>
        <w:widowControl w:val="0"/>
        <w:numPr>
          <w:ilvl w:val="0"/>
          <w:numId w:val="6"/>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lang w:val="en-US" w:eastAsia="zh-CN"/>
        </w:rPr>
        <w:t>无。</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eastAsia="zh-CN"/>
        </w:rPr>
      </w:pPr>
      <w:r>
        <w:rPr>
          <w:rFonts w:hint="eastAsia" w:ascii="宋体" w:hAnsi="宋体" w:eastAsia="方正仿宋_GBK" w:cs="方正仿宋_GBK"/>
          <w:kern w:val="0"/>
          <w:sz w:val="32"/>
          <w:szCs w:val="32"/>
          <w:lang w:val="en-US" w:eastAsia="zh-CN"/>
        </w:rPr>
        <w:t>本单位无此事项。</w:t>
      </w:r>
    </w:p>
    <w:p>
      <w:pPr>
        <w:pStyle w:val="9"/>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专业名词解释</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部门应根据实际情况对专业名词进行解释，不得遗漏。</w:t>
      </w:r>
      <w:r>
        <w:rPr>
          <w:rFonts w:hint="eastAsia" w:ascii="宋体" w:hAnsi="宋体" w:eastAsia="方正仿宋_GBK" w:cs="方正仿宋_GBK"/>
          <w:sz w:val="32"/>
          <w:szCs w:val="32"/>
          <w:lang w:val="en-US" w:eastAsia="zh-CN"/>
        </w:rPr>
        <w:t>示例：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（一）财政拨款收入：指</w:t>
      </w:r>
      <w:bookmarkStart w:id="0" w:name="_GoBack"/>
      <w:bookmarkEnd w:id="0"/>
      <w:r>
        <w:rPr>
          <w:rFonts w:hint="eastAsia" w:ascii="宋体" w:hAnsi="宋体" w:eastAsia="方正仿宋_GBK" w:cs="方正仿宋_GBK"/>
          <w:sz w:val="32"/>
          <w:szCs w:val="32"/>
        </w:rPr>
        <w:t>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）使用非财政拨款结余：指单位在当年的“财政拨款收入”、“事业收入”、“经营收入”、“其他收入”等不足以安排当年支出的情况下，使用以前年度积累的非财政拨款结余弥补本年度收支缺口的资金。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）年初结转和结余：指单位上年结转本年使用的基本支出结转、项目支出结转和结余、经营结余。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六</w:t>
      </w:r>
      <w:r>
        <w:rPr>
          <w:rFonts w:hint="eastAsia" w:ascii="宋体" w:hAnsi="宋体" w:eastAsia="方正仿宋_GBK" w:cs="方正仿宋_GBK"/>
          <w:sz w:val="32"/>
          <w:szCs w:val="32"/>
        </w:rPr>
        <w:t>）结余分配：指单位按照国家有关规定，缴纳所得税、提取专用基金、转入非财政拨款结余等当年结余的分配情况。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）年末结转和结余：指单位结转下年的基本支出结转、项目支出结转和结余、经营结余。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一</w:t>
      </w:r>
      <w:r>
        <w:rPr>
          <w:rFonts w:hint="eastAsia" w:ascii="宋体" w:hAnsi="宋体" w:eastAsia="方正仿宋_GBK" w:cs="方正仿宋_GBK"/>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二</w:t>
      </w:r>
      <w:r>
        <w:rPr>
          <w:rFonts w:hint="eastAsia" w:ascii="宋体" w:hAnsi="宋体" w:eastAsia="方正仿宋_GBK" w:cs="方正仿宋_GBK"/>
          <w:sz w:val="32"/>
          <w:szCs w:val="32"/>
        </w:rPr>
        <w:t>）工资福利支出（支出经济分类科目类级）：反映单位开支的在职职工和编制外长期聘用人员的各类劳动报酬，以及为上述人员缴纳的各项社会保险费等。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）商品和服务支出（支出经济分类科目类级）：反映单位购买商品和服务的支出（不包括用于购置固定资产的支出、战略性和应急储备支出）。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宋体" w:hAnsi="宋体" w:eastAsia="方正仿宋_GBK" w:cs="方正仿宋_GBK"/>
          <w:sz w:val="32"/>
          <w:szCs w:val="32"/>
          <w:lang w:val="en-US"/>
        </w:rPr>
      </w:pPr>
      <w:r>
        <w:rPr>
          <w:rFonts w:hint="eastAsia" w:ascii="宋体" w:hAnsi="宋体" w:eastAsia="方正仿宋_GBK" w:cs="方正仿宋_GBK"/>
          <w:sz w:val="32"/>
          <w:szCs w:val="32"/>
          <w:lang w:val="en-US" w:eastAsia="zh-CN"/>
        </w:rPr>
        <w:t>联系人：黄梅</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联系电话：47521393</w:t>
      </w:r>
    </w:p>
    <w:sectPr>
      <w:footerReference r:id="rId3" w:type="default"/>
      <w:footerReference r:id="rId4" w:type="even"/>
      <w:pgSz w:w="11906" w:h="16838"/>
      <w:pgMar w:top="1587" w:right="1474" w:bottom="1474" w:left="1587" w:header="851" w:footer="147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C7DC43F0"/>
    <w:multiLevelType w:val="singleLevel"/>
    <w:tmpl w:val="C7DC43F0"/>
    <w:lvl w:ilvl="0" w:tentative="0">
      <w:start w:val="1"/>
      <w:numFmt w:val="decimal"/>
      <w:suff w:val="space"/>
      <w:lvlText w:val="%1."/>
      <w:lvlJc w:val="left"/>
    </w:lvl>
  </w:abstractNum>
  <w:abstractNum w:abstractNumId="3">
    <w:nsid w:val="170F8B3D"/>
    <w:multiLevelType w:val="singleLevel"/>
    <w:tmpl w:val="170F8B3D"/>
    <w:lvl w:ilvl="0" w:tentative="0">
      <w:start w:val="1"/>
      <w:numFmt w:val="decimal"/>
      <w:suff w:val="space"/>
      <w:lvlText w:val="%1."/>
      <w:lvlJc w:val="left"/>
    </w:lvl>
  </w:abstractNum>
  <w:abstractNum w:abstractNumId="4">
    <w:nsid w:val="36AF54E0"/>
    <w:multiLevelType w:val="singleLevel"/>
    <w:tmpl w:val="36AF54E0"/>
    <w:lvl w:ilvl="0" w:tentative="0">
      <w:start w:val="2"/>
      <w:numFmt w:val="decimal"/>
      <w:suff w:val="space"/>
      <w:lvlText w:val="%1."/>
      <w:lvlJc w:val="left"/>
    </w:lvl>
  </w:abstractNum>
  <w:abstractNum w:abstractNumId="5">
    <w:nsid w:val="6BB1AE55"/>
    <w:multiLevelType w:val="singleLevel"/>
    <w:tmpl w:val="6BB1AE55"/>
    <w:lvl w:ilvl="0" w:tentative="0">
      <w:start w:val="1"/>
      <w:numFmt w:val="chineseCounting"/>
      <w:suff w:val="nothing"/>
      <w:lvlText w:val="（%1）"/>
      <w:lvlJc w:val="left"/>
      <w:rPr>
        <w:rFonts w:hint="eastAsia"/>
      </w:rPr>
    </w:lvl>
  </w:abstractNum>
  <w:abstractNum w:abstractNumId="6">
    <w:nsid w:val="7FC6D37E"/>
    <w:multiLevelType w:val="singleLevel"/>
    <w:tmpl w:val="7FC6D37E"/>
    <w:lvl w:ilvl="0" w:tentative="0">
      <w:start w:val="2"/>
      <w:numFmt w:val="chineseCounting"/>
      <w:suff w:val="nothing"/>
      <w:lvlText w:val="（%1）"/>
      <w:lvlJc w:val="left"/>
      <w:rPr>
        <w:rFonts w:hint="eastAsia"/>
      </w:rPr>
    </w:lvl>
  </w:abstractNum>
  <w:num w:numId="1">
    <w:abstractNumId w:val="6"/>
  </w:num>
  <w:num w:numId="2">
    <w:abstractNumId w:val="1"/>
  </w:num>
  <w:num w:numId="3">
    <w:abstractNumId w:val="5"/>
  </w:num>
  <w:num w:numId="4">
    <w:abstractNumId w:val="3"/>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53673B"/>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944BFB"/>
    <w:rsid w:val="07A34544"/>
    <w:rsid w:val="08190B33"/>
    <w:rsid w:val="08C10882"/>
    <w:rsid w:val="08C7668D"/>
    <w:rsid w:val="08CC205B"/>
    <w:rsid w:val="08DB1609"/>
    <w:rsid w:val="08E77E2B"/>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6D0214"/>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42780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68D490F"/>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0FD05AB"/>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044BB"/>
    <w:rsid w:val="268A5041"/>
    <w:rsid w:val="269A59A1"/>
    <w:rsid w:val="26D96305"/>
    <w:rsid w:val="26E96527"/>
    <w:rsid w:val="26F81B7B"/>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4345F"/>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57512C"/>
    <w:rsid w:val="4458062F"/>
    <w:rsid w:val="44630F9F"/>
    <w:rsid w:val="446908C9"/>
    <w:rsid w:val="446A3603"/>
    <w:rsid w:val="458B573C"/>
    <w:rsid w:val="45BD3779"/>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8F1583A"/>
    <w:rsid w:val="4901682D"/>
    <w:rsid w:val="491F1E3E"/>
    <w:rsid w:val="494A394A"/>
    <w:rsid w:val="497E4D40"/>
    <w:rsid w:val="498D6EB3"/>
    <w:rsid w:val="49A14844"/>
    <w:rsid w:val="4A38329E"/>
    <w:rsid w:val="4A786E7C"/>
    <w:rsid w:val="4A812037"/>
    <w:rsid w:val="4ABF0429"/>
    <w:rsid w:val="4B05514E"/>
    <w:rsid w:val="4B610AB6"/>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194E75"/>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203E1A"/>
    <w:rsid w:val="5E7319C7"/>
    <w:rsid w:val="5F3F14B1"/>
    <w:rsid w:val="5F4A1944"/>
    <w:rsid w:val="5F4D3766"/>
    <w:rsid w:val="5F736A1C"/>
    <w:rsid w:val="5F7C1524"/>
    <w:rsid w:val="60313F07"/>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423799"/>
    <w:rsid w:val="686C2A53"/>
    <w:rsid w:val="689C4BB9"/>
    <w:rsid w:val="68A245E2"/>
    <w:rsid w:val="68B0544A"/>
    <w:rsid w:val="690F3CAF"/>
    <w:rsid w:val="6A0C28CE"/>
    <w:rsid w:val="6A650A4D"/>
    <w:rsid w:val="6B7060C6"/>
    <w:rsid w:val="6C60029B"/>
    <w:rsid w:val="6C927168"/>
    <w:rsid w:val="6D8C5247"/>
    <w:rsid w:val="6E904287"/>
    <w:rsid w:val="6EA83056"/>
    <w:rsid w:val="6EB55F1D"/>
    <w:rsid w:val="6EB97B16"/>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01460"/>
    <w:rsid w:val="74557B08"/>
    <w:rsid w:val="745909D3"/>
    <w:rsid w:val="74753C1E"/>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41838"/>
    <w:rsid w:val="796C56F2"/>
    <w:rsid w:val="797265CF"/>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 w:val="7FDC5C54"/>
    <w:rsid w:val="F3FD6B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
    <w:name w:val="页眉 字符"/>
    <w:link w:val="4"/>
    <w:qFormat/>
    <w:uiPriority w:val="99"/>
    <w:rPr>
      <w:sz w:val="18"/>
      <w:szCs w:val="18"/>
    </w:rPr>
  </w:style>
  <w:style w:type="character" w:customStyle="1" w:styleId="12">
    <w:name w:val="页脚 字符"/>
    <w:link w:val="3"/>
    <w:qFormat/>
    <w:uiPriority w:val="99"/>
    <w:rPr>
      <w:sz w:val="18"/>
      <w:szCs w:val="18"/>
    </w:rPr>
  </w:style>
  <w:style w:type="character" w:customStyle="1" w:styleId="13">
    <w:name w:val="批注框文本 字符"/>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1882</Words>
  <Characters>1942</Characters>
  <Lines>16</Lines>
  <Paragraphs>4</Paragraphs>
  <TotalTime>1</TotalTime>
  <ScaleCrop>false</ScaleCrop>
  <LinksUpToDate>false</LinksUpToDate>
  <CharactersWithSpaces>1947</CharactersWithSpaces>
  <Application>WPS Office_11.8.2.12265_F1E327BC-269C-435d-A152-05C5408002CA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JELENA</cp:lastModifiedBy>
  <cp:lastPrinted>2023-08-10T09:16:00Z</cp:lastPrinted>
  <dcterms:modified xsi:type="dcterms:W3CDTF">2025-08-15T02:47:52Z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2052-11.8.2.12265</vt:lpwstr>
  </property>
  <property fmtid="{D5CDD505-2E9C-101B-9397-08002B2CF9AE}" pid="3" name="ICV">
    <vt:lpwstr>6678215063CA4AE5B1DBE4040A069384</vt:lpwstr>
  </property>
</Properties>
</file>