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430795">
      <w:pPr>
        <w:keepNext w:val="0"/>
        <w:keepLines w:val="0"/>
        <w:pageBreakBefore w:val="0"/>
        <w:kinsoku/>
        <w:wordWrap/>
        <w:overflowPunct/>
        <w:topLinePunct w:val="0"/>
        <w:autoSpaceDN/>
        <w:bidi w:val="0"/>
        <w:snapToGrid/>
        <w:spacing w:line="579" w:lineRule="exact"/>
        <w:textAlignment w:val="auto"/>
        <w:rPr>
          <w:rFonts w:hint="eastAsia" w:ascii="宋体" w:hAnsi="宋体" w:eastAsia="方正仿宋_GBK" w:cs="方正仿宋_GBK"/>
          <w:sz w:val="24"/>
          <w:szCs w:val="24"/>
          <w:lang w:val="en-US" w:eastAsia="zh-CN"/>
        </w:rPr>
      </w:pPr>
      <w:r>
        <w:rPr>
          <w:rFonts w:hint="eastAsia" w:ascii="宋体" w:hAnsi="宋体" w:eastAsia="方正仿宋_GBK" w:cs="方正仿宋_GBK"/>
          <w:sz w:val="24"/>
          <w:szCs w:val="24"/>
          <w:lang w:eastAsia="zh-CN"/>
        </w:rPr>
        <w:t>附件</w:t>
      </w:r>
      <w:r>
        <w:rPr>
          <w:rFonts w:hint="eastAsia" w:ascii="宋体" w:hAnsi="宋体" w:eastAsia="方正仿宋_GBK" w:cs="方正仿宋_GBK"/>
          <w:sz w:val="24"/>
          <w:szCs w:val="24"/>
          <w:lang w:val="en-US" w:eastAsia="zh-CN"/>
        </w:rPr>
        <w:t>3：</w:t>
      </w:r>
    </w:p>
    <w:p w14:paraId="42963152">
      <w:pPr>
        <w:keepNext w:val="0"/>
        <w:keepLines w:val="0"/>
        <w:pageBreakBefore w:val="0"/>
        <w:kinsoku/>
        <w:wordWrap/>
        <w:overflowPunct/>
        <w:topLinePunct w:val="0"/>
        <w:autoSpaceDN/>
        <w:bidi w:val="0"/>
        <w:snapToGrid/>
        <w:spacing w:line="579" w:lineRule="exact"/>
        <w:textAlignment w:val="auto"/>
        <w:rPr>
          <w:rFonts w:hint="eastAsia" w:ascii="宋体" w:hAnsi="宋体" w:eastAsia="方正仿宋_GBK" w:cs="方正仿宋_GBK"/>
          <w:sz w:val="44"/>
          <w:szCs w:val="44"/>
          <w:lang w:eastAsia="zh-CN"/>
        </w:rPr>
      </w:pPr>
    </w:p>
    <w:p w14:paraId="6B94E1CF">
      <w:pPr>
        <w:keepNext w:val="0"/>
        <w:keepLines w:val="0"/>
        <w:pageBreakBefore w:val="0"/>
        <w:kinsoku/>
        <w:wordWrap/>
        <w:overflowPunct/>
        <w:topLinePunct w:val="0"/>
        <w:autoSpaceDN/>
        <w:bidi w:val="0"/>
        <w:snapToGrid/>
        <w:spacing w:line="579" w:lineRule="exact"/>
        <w:ind w:firstLine="1100" w:firstLineChars="250"/>
        <w:jc w:val="center"/>
        <w:textAlignment w:val="auto"/>
        <w:rPr>
          <w:rFonts w:hint="eastAsia" w:ascii="宋体" w:hAnsi="宋体" w:eastAsia="方正小标宋_GBK" w:cs="方正小标宋_GBK"/>
          <w:sz w:val="44"/>
          <w:szCs w:val="44"/>
          <w:lang w:val="en-US" w:eastAsia="zh-CN"/>
        </w:rPr>
      </w:pPr>
      <w:r>
        <w:rPr>
          <w:rFonts w:hint="eastAsia" w:ascii="宋体" w:hAnsi="宋体" w:eastAsia="方正小标宋_GBK" w:cs="方正小标宋_GBK"/>
          <w:sz w:val="44"/>
          <w:szCs w:val="44"/>
          <w:lang w:val="en-US" w:eastAsia="zh-CN"/>
        </w:rPr>
        <w:t>重庆市江津区港航事务中心</w:t>
      </w:r>
    </w:p>
    <w:p w14:paraId="02EC1D2C">
      <w:pPr>
        <w:keepNext w:val="0"/>
        <w:keepLines w:val="0"/>
        <w:pageBreakBefore w:val="0"/>
        <w:kinsoku/>
        <w:wordWrap/>
        <w:overflowPunct/>
        <w:topLinePunct w:val="0"/>
        <w:autoSpaceDN/>
        <w:bidi w:val="0"/>
        <w:snapToGrid/>
        <w:spacing w:line="579" w:lineRule="exact"/>
        <w:ind w:firstLine="1100" w:firstLineChars="250"/>
        <w:jc w:val="center"/>
        <w:textAlignment w:val="auto"/>
        <w:rPr>
          <w:rFonts w:hint="eastAsia" w:ascii="宋体" w:hAnsi="宋体" w:eastAsia="方正小标宋_GBK" w:cs="方正小标宋_GBK"/>
          <w:sz w:val="44"/>
          <w:szCs w:val="44"/>
        </w:rPr>
      </w:pPr>
      <w:r>
        <w:rPr>
          <w:rFonts w:hint="eastAsia" w:ascii="宋体" w:hAnsi="宋体" w:eastAsia="方正小标宋_GBK" w:cs="方正小标宋_GBK"/>
          <w:sz w:val="44"/>
          <w:szCs w:val="44"/>
        </w:rPr>
        <w:t>202</w:t>
      </w:r>
      <w:r>
        <w:rPr>
          <w:rFonts w:hint="eastAsia" w:ascii="宋体" w:hAnsi="宋体" w:eastAsia="方正小标宋_GBK" w:cs="方正小标宋_GBK"/>
          <w:sz w:val="44"/>
          <w:szCs w:val="44"/>
          <w:lang w:val="en-US" w:eastAsia="zh-CN"/>
        </w:rPr>
        <w:t>4年度决算公开</w:t>
      </w:r>
      <w:r>
        <w:rPr>
          <w:rFonts w:hint="eastAsia" w:ascii="宋体" w:hAnsi="宋体" w:eastAsia="方正小标宋_GBK" w:cs="方正小标宋_GBK"/>
          <w:sz w:val="44"/>
          <w:szCs w:val="44"/>
        </w:rPr>
        <w:t>说明</w:t>
      </w:r>
    </w:p>
    <w:p w14:paraId="07C050BA">
      <w:pPr>
        <w:keepNext w:val="0"/>
        <w:keepLines w:val="0"/>
        <w:pageBreakBefore w:val="0"/>
        <w:kinsoku/>
        <w:wordWrap/>
        <w:overflowPunct/>
        <w:topLinePunct w:val="0"/>
        <w:autoSpaceDN/>
        <w:bidi w:val="0"/>
        <w:snapToGrid/>
        <w:spacing w:line="579" w:lineRule="exact"/>
        <w:ind w:firstLine="1100" w:firstLineChars="250"/>
        <w:textAlignment w:val="auto"/>
        <w:rPr>
          <w:rFonts w:hint="eastAsia" w:ascii="宋体" w:hAnsi="宋体" w:eastAsia="方正仿宋_GBK" w:cs="方正仿宋_GBK"/>
          <w:sz w:val="44"/>
          <w:szCs w:val="44"/>
        </w:rPr>
      </w:pPr>
    </w:p>
    <w:p w14:paraId="549B81BC">
      <w:pPr>
        <w:pStyle w:val="10"/>
        <w:keepNext w:val="0"/>
        <w:keepLines w:val="0"/>
        <w:pageBreakBefore w:val="0"/>
        <w:widowControl w:val="0"/>
        <w:numPr>
          <w:ilvl w:val="0"/>
          <w:numId w:val="1"/>
        </w:numPr>
        <w:tabs>
          <w:tab w:val="center" w:pos="4153"/>
          <w:tab w:val="left" w:pos="7275"/>
        </w:tabs>
        <w:kinsoku/>
        <w:wordWrap/>
        <w:overflowPunct/>
        <w:topLinePunct w:val="0"/>
        <w:autoSpaceDE/>
        <w:autoSpaceDN/>
        <w:bidi w:val="0"/>
        <w:adjustRightInd/>
        <w:snapToGrid/>
        <w:spacing w:line="579" w:lineRule="exact"/>
        <w:ind w:firstLine="640"/>
        <w:textAlignment w:val="auto"/>
        <w:outlineLvl w:val="0"/>
        <w:rPr>
          <w:rFonts w:hint="eastAsia" w:ascii="宋体" w:hAnsi="宋体" w:eastAsia="方正黑体_GBK" w:cs="方正黑体_GBK"/>
          <w:sz w:val="32"/>
          <w:szCs w:val="32"/>
        </w:rPr>
      </w:pPr>
      <w:r>
        <w:rPr>
          <w:rFonts w:hint="eastAsia" w:ascii="宋体" w:hAnsi="宋体" w:eastAsia="方正黑体_GBK" w:cs="方正黑体_GBK"/>
          <w:sz w:val="32"/>
          <w:szCs w:val="32"/>
        </w:rPr>
        <w:t>单位基本情况</w:t>
      </w:r>
    </w:p>
    <w:p w14:paraId="21DAF4ED">
      <w:pPr>
        <w:pStyle w:val="10"/>
        <w:keepNext w:val="0"/>
        <w:keepLines w:val="0"/>
        <w:pageBreakBefore w:val="0"/>
        <w:widowControl w:val="0"/>
        <w:numPr>
          <w:ilvl w:val="0"/>
          <w:numId w:val="0"/>
        </w:numPr>
        <w:tabs>
          <w:tab w:val="center" w:pos="4153"/>
          <w:tab w:val="left" w:pos="7275"/>
        </w:tabs>
        <w:kinsoku/>
        <w:wordWrap/>
        <w:overflowPunct/>
        <w:topLinePunct w:val="0"/>
        <w:autoSpaceDE/>
        <w:autoSpaceDN/>
        <w:bidi w:val="0"/>
        <w:adjustRightInd/>
        <w:snapToGrid/>
        <w:spacing w:line="579" w:lineRule="exact"/>
        <w:textAlignment w:val="auto"/>
        <w:outlineLvl w:val="0"/>
        <w:rPr>
          <w:rFonts w:ascii="方正仿宋_GBK" w:hAnsi="方正仿宋_GBK" w:eastAsia="方正仿宋_GBK" w:cs="方正仿宋_GBK"/>
          <w:i w:val="0"/>
          <w:iCs w:val="0"/>
          <w:caps w:val="0"/>
          <w:spacing w:val="0"/>
          <w:sz w:val="32"/>
          <w:szCs w:val="32"/>
          <w:shd w:val="clear" w:fill="FFFFFF"/>
        </w:rPr>
      </w:pPr>
      <w:r>
        <w:rPr>
          <w:rFonts w:hint="eastAsia" w:ascii="宋体" w:hAnsi="宋体" w:eastAsia="方正黑体_GBK" w:cs="方正黑体_GBK"/>
          <w:sz w:val="32"/>
          <w:szCs w:val="32"/>
          <w:lang w:val="en-US" w:eastAsia="zh-CN"/>
        </w:rPr>
        <w:t xml:space="preserve">     </w:t>
      </w:r>
      <w:r>
        <w:rPr>
          <w:rFonts w:ascii="方正仿宋_GBK" w:hAnsi="方正仿宋_GBK" w:eastAsia="方正仿宋_GBK" w:cs="方正仿宋_GBK"/>
          <w:i w:val="0"/>
          <w:iCs w:val="0"/>
          <w:caps w:val="0"/>
          <w:spacing w:val="0"/>
          <w:sz w:val="32"/>
          <w:szCs w:val="32"/>
          <w:shd w:val="clear" w:fill="FFFFFF"/>
        </w:rPr>
        <w:t>我单位全称重庆市江津区港航事务中心，是区交通运输委员会管理的副处级全额拨款公益一类事业单位。</w:t>
      </w:r>
    </w:p>
    <w:p w14:paraId="14D66D3F">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outlineLvl w:val="1"/>
        <w:rPr>
          <w:rFonts w:hint="eastAsia" w:ascii="宋体" w:hAnsi="宋体" w:eastAsia="方正楷体_GBK" w:cs="方正楷体_GBK"/>
          <w:kern w:val="0"/>
          <w:sz w:val="32"/>
          <w:szCs w:val="32"/>
          <w:lang w:val="en-US" w:eastAsia="zh-CN"/>
        </w:rPr>
      </w:pPr>
      <w:r>
        <w:rPr>
          <w:rFonts w:hint="eastAsia" w:ascii="方正仿宋_GBK" w:hAnsi="方正仿宋_GBK" w:eastAsia="方正仿宋_GBK" w:cs="方正仿宋_GBK"/>
          <w:i w:val="0"/>
          <w:iCs w:val="0"/>
          <w:caps w:val="0"/>
          <w:spacing w:val="0"/>
          <w:sz w:val="32"/>
          <w:szCs w:val="32"/>
          <w:shd w:val="clear" w:fill="FFFFFF"/>
          <w:lang w:eastAsia="zh-CN"/>
        </w:rPr>
        <w:t>（</w:t>
      </w:r>
      <w:r>
        <w:rPr>
          <w:rFonts w:hint="eastAsia" w:ascii="方正仿宋_GBK" w:hAnsi="方正仿宋_GBK" w:eastAsia="方正仿宋_GBK" w:cs="方正仿宋_GBK"/>
          <w:i w:val="0"/>
          <w:iCs w:val="0"/>
          <w:caps w:val="0"/>
          <w:spacing w:val="0"/>
          <w:sz w:val="32"/>
          <w:szCs w:val="32"/>
          <w:shd w:val="clear" w:fill="FFFFFF"/>
          <w:lang w:val="en-US" w:eastAsia="zh-CN"/>
        </w:rPr>
        <w:t>一）</w:t>
      </w:r>
      <w:r>
        <w:rPr>
          <w:rFonts w:hint="eastAsia" w:ascii="宋体" w:hAnsi="宋体" w:eastAsia="方正楷体_GBK" w:cs="方正楷体_GBK"/>
          <w:kern w:val="0"/>
          <w:sz w:val="32"/>
          <w:szCs w:val="32"/>
          <w:lang w:val="en-US" w:eastAsia="zh-CN"/>
        </w:rPr>
        <w:t>职能职责</w:t>
      </w:r>
    </w:p>
    <w:p w14:paraId="364C3E12">
      <w:pPr>
        <w:keepNext w:val="0"/>
        <w:keepLines w:val="0"/>
        <w:pageBreakBefore w:val="0"/>
        <w:widowControl w:val="0"/>
        <w:suppressLineNumbers w:val="0"/>
        <w:suppressAutoHyphens w:val="0"/>
        <w:kinsoku/>
        <w:wordWrap/>
        <w:overflowPunct/>
        <w:topLinePunct w:val="0"/>
        <w:autoSpaceDE/>
        <w:autoSpaceDN/>
        <w:bidi w:val="0"/>
        <w:adjustRightInd w:val="0"/>
        <w:snapToGrid w:val="0"/>
        <w:spacing w:line="579" w:lineRule="exact"/>
        <w:ind w:left="0" w:firstLine="640" w:firstLineChars="20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1、</w:t>
      </w:r>
      <w:r>
        <w:rPr>
          <w:rFonts w:hint="eastAsia" w:ascii="方正仿宋_GBK" w:hAnsi="方正仿宋_GBK" w:eastAsia="方正仿宋_GBK" w:cs="方正仿宋_GBK"/>
          <w:sz w:val="32"/>
          <w:szCs w:val="32"/>
          <w:lang w:eastAsia="zh-CN"/>
        </w:rPr>
        <w:t>负责</w:t>
      </w:r>
      <w:r>
        <w:rPr>
          <w:rFonts w:hint="eastAsia" w:ascii="方正仿宋_GBK" w:hAnsi="方正仿宋_GBK" w:eastAsia="方正仿宋_GBK" w:cs="方正仿宋_GBK"/>
          <w:sz w:val="32"/>
          <w:szCs w:val="32"/>
        </w:rPr>
        <w:t>辖区范围内水路运输、港口码头、渡口、地方航道管理的事务工作。</w:t>
      </w:r>
    </w:p>
    <w:p w14:paraId="704EEDAA">
      <w:pPr>
        <w:keepNext w:val="0"/>
        <w:keepLines w:val="0"/>
        <w:pageBreakBefore w:val="0"/>
        <w:widowControl w:val="0"/>
        <w:suppressLineNumbers w:val="0"/>
        <w:suppressAutoHyphens w:val="0"/>
        <w:kinsoku/>
        <w:wordWrap/>
        <w:overflowPunct/>
        <w:topLinePunct w:val="0"/>
        <w:autoSpaceDE/>
        <w:autoSpaceDN/>
        <w:bidi w:val="0"/>
        <w:adjustRightInd w:val="0"/>
        <w:snapToGrid w:val="0"/>
        <w:spacing w:line="579" w:lineRule="exact"/>
        <w:ind w:left="0" w:firstLine="640" w:firstLineChars="20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lang w:eastAsia="zh-CN"/>
        </w:rPr>
        <w:t>负责</w:t>
      </w:r>
      <w:r>
        <w:rPr>
          <w:rFonts w:hint="eastAsia" w:ascii="方正仿宋_GBK" w:hAnsi="方正仿宋_GBK" w:eastAsia="方正仿宋_GBK" w:cs="方正仿宋_GBK"/>
          <w:sz w:val="32"/>
          <w:szCs w:val="32"/>
        </w:rPr>
        <w:t>地方海事管理的事务工作。</w:t>
      </w:r>
    </w:p>
    <w:p w14:paraId="6B7FC168">
      <w:pPr>
        <w:keepNext w:val="0"/>
        <w:keepLines w:val="0"/>
        <w:pageBreakBefore w:val="0"/>
        <w:widowControl w:val="0"/>
        <w:suppressLineNumbers w:val="0"/>
        <w:suppressAutoHyphens w:val="0"/>
        <w:kinsoku/>
        <w:wordWrap/>
        <w:overflowPunct/>
        <w:topLinePunct w:val="0"/>
        <w:autoSpaceDE/>
        <w:autoSpaceDN/>
        <w:bidi w:val="0"/>
        <w:adjustRightInd w:val="0"/>
        <w:snapToGrid w:val="0"/>
        <w:spacing w:line="579" w:lineRule="exact"/>
        <w:ind w:left="0" w:firstLine="640" w:firstLineChars="20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sz w:val="32"/>
          <w:szCs w:val="32"/>
          <w:lang w:eastAsia="zh-CN"/>
        </w:rPr>
        <w:t>负责</w:t>
      </w:r>
      <w:r>
        <w:rPr>
          <w:rFonts w:hint="eastAsia" w:ascii="方正仿宋_GBK" w:hAnsi="方正仿宋_GBK" w:eastAsia="方正仿宋_GBK" w:cs="方正仿宋_GBK"/>
          <w:sz w:val="32"/>
          <w:szCs w:val="32"/>
        </w:rPr>
        <w:t>地方水上交通安全和应急管理的事务工作。参与行业安全事故和辖区水上交通事故调查。</w:t>
      </w:r>
    </w:p>
    <w:p w14:paraId="57176ED8">
      <w:pPr>
        <w:keepNext w:val="0"/>
        <w:keepLines w:val="0"/>
        <w:pageBreakBefore w:val="0"/>
        <w:widowControl w:val="0"/>
        <w:suppressLineNumbers w:val="0"/>
        <w:suppressAutoHyphens w:val="0"/>
        <w:kinsoku/>
        <w:wordWrap/>
        <w:overflowPunct/>
        <w:topLinePunct w:val="0"/>
        <w:autoSpaceDE/>
        <w:autoSpaceDN/>
        <w:bidi w:val="0"/>
        <w:adjustRightInd w:val="0"/>
        <w:snapToGrid w:val="0"/>
        <w:spacing w:line="579" w:lineRule="exact"/>
        <w:ind w:left="0" w:firstLine="640" w:firstLineChars="20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lang w:eastAsia="zh-CN"/>
        </w:rPr>
        <w:t>负责</w:t>
      </w:r>
      <w:r>
        <w:rPr>
          <w:rFonts w:hint="eastAsia" w:ascii="方正仿宋_GBK" w:hAnsi="方正仿宋_GBK" w:eastAsia="方正仿宋_GBK" w:cs="方正仿宋_GBK"/>
          <w:sz w:val="32"/>
          <w:szCs w:val="32"/>
        </w:rPr>
        <w:t>水路行业生态环境保护和节能减排的事务工作。</w:t>
      </w:r>
    </w:p>
    <w:p w14:paraId="4A474115">
      <w:pPr>
        <w:keepNext w:val="0"/>
        <w:keepLines w:val="0"/>
        <w:pageBreakBefore w:val="0"/>
        <w:widowControl w:val="0"/>
        <w:suppressLineNumbers w:val="0"/>
        <w:suppressAutoHyphens w:val="0"/>
        <w:kinsoku/>
        <w:wordWrap/>
        <w:overflowPunct/>
        <w:topLinePunct w:val="0"/>
        <w:autoSpaceDE/>
        <w:autoSpaceDN/>
        <w:bidi w:val="0"/>
        <w:adjustRightInd w:val="0"/>
        <w:snapToGrid w:val="0"/>
        <w:spacing w:line="579" w:lineRule="exact"/>
        <w:ind w:left="0" w:firstLine="640" w:firstLineChars="20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5、</w:t>
      </w:r>
      <w:r>
        <w:rPr>
          <w:rFonts w:hint="eastAsia" w:ascii="方正仿宋_GBK" w:hAnsi="方正仿宋_GBK" w:eastAsia="方正仿宋_GBK" w:cs="方正仿宋_GBK"/>
          <w:sz w:val="32"/>
          <w:szCs w:val="32"/>
          <w:lang w:eastAsia="zh-CN"/>
        </w:rPr>
        <w:t>负责</w:t>
      </w:r>
      <w:r>
        <w:rPr>
          <w:rFonts w:hint="eastAsia" w:ascii="方正仿宋_GBK" w:hAnsi="方正仿宋_GBK" w:eastAsia="方正仿宋_GBK" w:cs="方正仿宋_GBK"/>
          <w:sz w:val="32"/>
          <w:szCs w:val="32"/>
        </w:rPr>
        <w:t>重点物资、应急救援物资和人员、紧急和重要军事物资水路运输的组织协调工作；</w:t>
      </w:r>
      <w:r>
        <w:rPr>
          <w:rFonts w:hint="eastAsia" w:ascii="方正仿宋_GBK" w:hAnsi="方正仿宋_GBK" w:eastAsia="方正仿宋_GBK" w:cs="方正仿宋_GBK"/>
          <w:sz w:val="32"/>
          <w:szCs w:val="32"/>
          <w:lang w:eastAsia="zh-CN"/>
        </w:rPr>
        <w:t>负责</w:t>
      </w:r>
      <w:r>
        <w:rPr>
          <w:rFonts w:hint="eastAsia" w:ascii="方正仿宋_GBK" w:hAnsi="方正仿宋_GBK" w:eastAsia="方正仿宋_GBK" w:cs="方正仿宋_GBK"/>
          <w:sz w:val="32"/>
          <w:szCs w:val="32"/>
        </w:rPr>
        <w:t>水路运输战备事务工作，负责战备渡口的管理维护。</w:t>
      </w:r>
    </w:p>
    <w:p w14:paraId="0CDC8CC8">
      <w:pPr>
        <w:keepNext w:val="0"/>
        <w:keepLines w:val="0"/>
        <w:pageBreakBefore w:val="0"/>
        <w:widowControl w:val="0"/>
        <w:suppressLineNumbers w:val="0"/>
        <w:suppressAutoHyphens w:val="0"/>
        <w:kinsoku/>
        <w:wordWrap/>
        <w:overflowPunct/>
        <w:topLinePunct w:val="0"/>
        <w:autoSpaceDE/>
        <w:autoSpaceDN/>
        <w:bidi w:val="0"/>
        <w:adjustRightInd w:val="0"/>
        <w:snapToGrid w:val="0"/>
        <w:spacing w:line="579" w:lineRule="exact"/>
        <w:ind w:left="0" w:firstLine="640" w:firstLineChars="20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6、</w:t>
      </w:r>
      <w:r>
        <w:rPr>
          <w:rFonts w:hint="eastAsia" w:ascii="方正仿宋_GBK" w:hAnsi="方正仿宋_GBK" w:eastAsia="方正仿宋_GBK" w:cs="方正仿宋_GBK"/>
          <w:sz w:val="32"/>
          <w:szCs w:val="32"/>
          <w:lang w:eastAsia="zh-CN"/>
        </w:rPr>
        <w:t>负责</w:t>
      </w:r>
      <w:r>
        <w:rPr>
          <w:rFonts w:hint="eastAsia" w:ascii="方正仿宋_GBK" w:hAnsi="方正仿宋_GBK" w:eastAsia="方正仿宋_GBK" w:cs="方正仿宋_GBK"/>
          <w:sz w:val="32"/>
          <w:szCs w:val="32"/>
        </w:rPr>
        <w:t>行业信用体系建设、港航海事政务服务、行业统计的事务性工作。</w:t>
      </w:r>
    </w:p>
    <w:p w14:paraId="671CF794">
      <w:pPr>
        <w:keepNext w:val="0"/>
        <w:keepLines w:val="0"/>
        <w:pageBreakBefore w:val="0"/>
        <w:widowControl w:val="0"/>
        <w:suppressLineNumbers w:val="0"/>
        <w:suppressAutoHyphens w:val="0"/>
        <w:kinsoku/>
        <w:wordWrap/>
        <w:overflowPunct/>
        <w:topLinePunct w:val="0"/>
        <w:autoSpaceDE/>
        <w:autoSpaceDN/>
        <w:bidi w:val="0"/>
        <w:adjustRightInd w:val="0"/>
        <w:snapToGrid w:val="0"/>
        <w:spacing w:line="579" w:lineRule="exact"/>
        <w:ind w:left="0" w:firstLine="640" w:firstLineChars="20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7、</w:t>
      </w:r>
      <w:r>
        <w:rPr>
          <w:rFonts w:hint="eastAsia" w:ascii="方正仿宋_GBK" w:hAnsi="方正仿宋_GBK" w:eastAsia="方正仿宋_GBK" w:cs="方正仿宋_GBK"/>
          <w:sz w:val="32"/>
          <w:szCs w:val="32"/>
          <w:lang w:eastAsia="zh-CN"/>
        </w:rPr>
        <w:t>负责</w:t>
      </w:r>
      <w:r>
        <w:rPr>
          <w:rFonts w:hint="eastAsia" w:ascii="方正仿宋_GBK" w:hAnsi="方正仿宋_GBK" w:eastAsia="方正仿宋_GBK" w:cs="方正仿宋_GBK"/>
          <w:sz w:val="32"/>
          <w:szCs w:val="32"/>
        </w:rPr>
        <w:t>行业发展规划、建设事务性工作及相关行业文明建设工作。</w:t>
      </w:r>
    </w:p>
    <w:p w14:paraId="5B5C8E22">
      <w:pPr>
        <w:keepNext w:val="0"/>
        <w:keepLines w:val="0"/>
        <w:pageBreakBefore w:val="0"/>
        <w:widowControl w:val="0"/>
        <w:suppressLineNumbers w:val="0"/>
        <w:suppressAutoHyphens w:val="0"/>
        <w:kinsoku/>
        <w:wordWrap/>
        <w:overflowPunct/>
        <w:topLinePunct w:val="0"/>
        <w:autoSpaceDE/>
        <w:autoSpaceDN/>
        <w:bidi w:val="0"/>
        <w:adjustRightInd w:val="0"/>
        <w:snapToGrid w:val="0"/>
        <w:spacing w:line="579" w:lineRule="exact"/>
        <w:ind w:left="0" w:firstLine="640" w:firstLineChars="20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8、</w:t>
      </w:r>
      <w:r>
        <w:rPr>
          <w:rFonts w:hint="eastAsia" w:ascii="方正仿宋_GBK" w:hAnsi="方正仿宋_GBK" w:eastAsia="方正仿宋_GBK" w:cs="方正仿宋_GBK"/>
          <w:sz w:val="32"/>
          <w:szCs w:val="32"/>
          <w:lang w:eastAsia="zh-CN"/>
        </w:rPr>
        <w:t>负责</w:t>
      </w:r>
      <w:r>
        <w:rPr>
          <w:rFonts w:hint="eastAsia" w:ascii="方正仿宋_GBK" w:hAnsi="方正仿宋_GBK" w:eastAsia="方正仿宋_GBK" w:cs="方正仿宋_GBK"/>
          <w:sz w:val="32"/>
          <w:szCs w:val="32"/>
        </w:rPr>
        <w:t>交通领域长江经济带建设和内河生态环境修复工作。</w:t>
      </w:r>
    </w:p>
    <w:p w14:paraId="126138A2">
      <w:pPr>
        <w:keepNext w:val="0"/>
        <w:keepLines w:val="0"/>
        <w:pageBreakBefore w:val="0"/>
        <w:widowControl w:val="0"/>
        <w:suppressLineNumbers w:val="0"/>
        <w:suppressAutoHyphens w:val="0"/>
        <w:kinsoku/>
        <w:wordWrap/>
        <w:overflowPunct/>
        <w:topLinePunct w:val="0"/>
        <w:autoSpaceDE/>
        <w:autoSpaceDN/>
        <w:bidi w:val="0"/>
        <w:adjustRightInd w:val="0"/>
        <w:snapToGrid w:val="0"/>
        <w:spacing w:line="579" w:lineRule="exact"/>
        <w:ind w:left="0" w:firstLine="640" w:firstLineChars="200"/>
        <w:jc w:val="left"/>
        <w:textAlignment w:val="auto"/>
        <w:rPr>
          <w:rFonts w:hint="eastAsia" w:ascii="方正仿宋_GBK" w:hAnsi="方正仿宋_GBK" w:eastAsia="方正仿宋_GBK" w:cs="方正仿宋_GBK"/>
          <w:color w:val="0000FF"/>
          <w:sz w:val="32"/>
          <w:szCs w:val="32"/>
          <w:lang w:eastAsia="zh-CN"/>
        </w:rPr>
      </w:pPr>
      <w:r>
        <w:rPr>
          <w:rFonts w:hint="eastAsia" w:ascii="方正仿宋_GBK" w:hAnsi="方正仿宋_GBK" w:eastAsia="方正仿宋_GBK" w:cs="方正仿宋_GBK"/>
          <w:sz w:val="32"/>
          <w:szCs w:val="32"/>
          <w:lang w:val="en-US" w:eastAsia="zh-CN"/>
        </w:rPr>
        <w:t>9、</w:t>
      </w:r>
      <w:r>
        <w:rPr>
          <w:rFonts w:hint="eastAsia" w:ascii="方正仿宋_GBK" w:hAnsi="方正仿宋_GBK" w:eastAsia="方正仿宋_GBK" w:cs="方正仿宋_GBK"/>
          <w:sz w:val="32"/>
          <w:szCs w:val="32"/>
          <w:lang w:eastAsia="zh-CN"/>
        </w:rPr>
        <w:t>负责</w:t>
      </w:r>
      <w:r>
        <w:rPr>
          <w:rFonts w:hint="eastAsia" w:ascii="方正仿宋_GBK" w:hAnsi="方正仿宋_GBK" w:eastAsia="方正仿宋_GBK" w:cs="方正仿宋_GBK"/>
          <w:sz w:val="32"/>
          <w:szCs w:val="32"/>
          <w:lang w:val="zh-CN" w:eastAsia="zh-CN"/>
        </w:rPr>
        <w:t>船舶污</w:t>
      </w:r>
      <w:r>
        <w:rPr>
          <w:rFonts w:hint="eastAsia" w:ascii="方正仿宋_GBK" w:hAnsi="方正仿宋_GBK" w:eastAsia="方正仿宋_GBK" w:cs="方正仿宋_GBK"/>
          <w:sz w:val="32"/>
          <w:szCs w:val="32"/>
          <w:lang w:val="zh-CN" w:eastAsia="zh-CN" w:bidi="ar-SA"/>
        </w:rPr>
        <w:t>染防治相关事务工作。</w:t>
      </w:r>
    </w:p>
    <w:p w14:paraId="4507238C">
      <w:pPr>
        <w:keepNext w:val="0"/>
        <w:keepLines w:val="0"/>
        <w:pageBreakBefore w:val="0"/>
        <w:widowControl w:val="0"/>
        <w:suppressLineNumbers w:val="0"/>
        <w:suppressAutoHyphens w:val="0"/>
        <w:kinsoku/>
        <w:wordWrap/>
        <w:overflowPunct/>
        <w:topLinePunct w:val="0"/>
        <w:autoSpaceDE/>
        <w:autoSpaceDN/>
        <w:bidi w:val="0"/>
        <w:adjustRightInd w:val="0"/>
        <w:snapToGrid w:val="0"/>
        <w:spacing w:line="579" w:lineRule="exact"/>
        <w:ind w:left="0" w:firstLine="640" w:firstLineChars="200"/>
        <w:jc w:val="left"/>
        <w:textAlignment w:val="auto"/>
        <w:rPr>
          <w:rFonts w:hint="eastAsia" w:ascii="方正仿宋_GBK" w:hAnsi="方正仿宋_GBK" w:eastAsia="方正仿宋_GBK" w:cs="方正仿宋_GBK"/>
          <w:color w:val="auto"/>
          <w:kern w:val="2"/>
          <w:sz w:val="32"/>
          <w:szCs w:val="32"/>
          <w:vertAlign w:val="baseline"/>
          <w:lang w:val="en-US" w:eastAsia="zh-CN" w:bidi="ar-SA"/>
        </w:rPr>
      </w:pPr>
      <w:r>
        <w:rPr>
          <w:rFonts w:hint="eastAsia" w:ascii="方正仿宋_GBK" w:hAnsi="方正仿宋_GBK" w:eastAsia="方正仿宋_GBK" w:cs="方正仿宋_GBK"/>
          <w:sz w:val="32"/>
          <w:szCs w:val="32"/>
          <w:lang w:val="en-US" w:eastAsia="zh-CN"/>
        </w:rPr>
        <w:t>10、</w:t>
      </w:r>
      <w:r>
        <w:rPr>
          <w:rFonts w:hint="eastAsia" w:ascii="方正仿宋_GBK" w:hAnsi="方正仿宋_GBK" w:eastAsia="方正仿宋_GBK" w:cs="方正仿宋_GBK"/>
          <w:sz w:val="32"/>
          <w:szCs w:val="32"/>
        </w:rPr>
        <w:t>完成</w:t>
      </w:r>
      <w:r>
        <w:rPr>
          <w:rFonts w:hint="eastAsia" w:ascii="方正仿宋_GBK" w:hAnsi="方正仿宋_GBK" w:eastAsia="方正仿宋_GBK" w:cs="方正仿宋_GBK"/>
          <w:color w:val="auto"/>
          <w:kern w:val="2"/>
          <w:sz w:val="32"/>
          <w:szCs w:val="32"/>
          <w:vertAlign w:val="baseline"/>
          <w:lang w:val="en-US" w:eastAsia="zh-CN" w:bidi="ar-SA"/>
        </w:rPr>
        <w:t>主管部门</w:t>
      </w:r>
      <w:r>
        <w:rPr>
          <w:rFonts w:hint="eastAsia" w:ascii="方正仿宋_GBK" w:hAnsi="方正仿宋_GBK" w:eastAsia="方正仿宋_GBK" w:cs="方正仿宋_GBK"/>
          <w:sz w:val="32"/>
          <w:szCs w:val="32"/>
        </w:rPr>
        <w:t>交办的其他任务。</w:t>
      </w:r>
    </w:p>
    <w:p w14:paraId="2989E120">
      <w:pPr>
        <w:keepNext w:val="0"/>
        <w:keepLines w:val="0"/>
        <w:pageBreakBefore w:val="0"/>
        <w:kinsoku/>
        <w:wordWrap/>
        <w:overflowPunct/>
        <w:topLinePunct w:val="0"/>
        <w:autoSpaceDN/>
        <w:bidi w:val="0"/>
        <w:snapToGrid/>
        <w:spacing w:line="579" w:lineRule="exact"/>
        <w:ind w:firstLine="640" w:firstLineChars="200"/>
        <w:textAlignment w:val="auto"/>
        <w:rPr>
          <w:rFonts w:hint="eastAsia" w:ascii="宋体" w:hAnsi="宋体" w:eastAsia="方正仿宋_GBK" w:cs="方正仿宋_GBK"/>
          <w:kern w:val="0"/>
          <w:sz w:val="32"/>
          <w:szCs w:val="32"/>
          <w:lang w:val="en-US" w:eastAsia="zh-CN"/>
        </w:rPr>
      </w:pPr>
    </w:p>
    <w:p w14:paraId="56E2EC97">
      <w:pPr>
        <w:keepNext w:val="0"/>
        <w:keepLines w:val="0"/>
        <w:pageBreakBefore w:val="0"/>
        <w:widowControl w:val="0"/>
        <w:numPr>
          <w:ilvl w:val="0"/>
          <w:numId w:val="2"/>
        </w:numPr>
        <w:kinsoku/>
        <w:wordWrap/>
        <w:overflowPunct/>
        <w:topLinePunct w:val="0"/>
        <w:autoSpaceDE/>
        <w:autoSpaceDN/>
        <w:bidi w:val="0"/>
        <w:adjustRightInd/>
        <w:snapToGrid/>
        <w:spacing w:line="579" w:lineRule="exact"/>
        <w:ind w:firstLine="640" w:firstLineChars="200"/>
        <w:textAlignment w:val="auto"/>
        <w:outlineLvl w:val="1"/>
        <w:rPr>
          <w:rFonts w:hint="eastAsia" w:ascii="宋体" w:hAnsi="宋体" w:eastAsia="方正楷体_GBK" w:cs="方正楷体_GBK"/>
          <w:kern w:val="0"/>
          <w:sz w:val="32"/>
          <w:szCs w:val="32"/>
          <w:lang w:eastAsia="zh-CN"/>
        </w:rPr>
      </w:pPr>
      <w:r>
        <w:rPr>
          <w:rFonts w:hint="eastAsia" w:ascii="宋体" w:hAnsi="宋体" w:eastAsia="方正楷体_GBK" w:cs="方正楷体_GBK"/>
          <w:kern w:val="0"/>
          <w:sz w:val="32"/>
          <w:szCs w:val="32"/>
          <w:lang w:val="en-US" w:eastAsia="zh-CN"/>
        </w:rPr>
        <w:t>机构设置</w:t>
      </w:r>
    </w:p>
    <w:p w14:paraId="2D59C2BB">
      <w:pPr>
        <w:keepNext w:val="0"/>
        <w:keepLines w:val="0"/>
        <w:pageBreakBefore w:val="0"/>
        <w:widowControl w:val="0"/>
        <w:suppressLineNumbers w:val="0"/>
        <w:suppressAutoHyphens w:val="0"/>
        <w:kinsoku/>
        <w:wordWrap/>
        <w:overflowPunct/>
        <w:topLinePunct w:val="0"/>
        <w:autoSpaceDE/>
        <w:autoSpaceDN/>
        <w:bidi w:val="0"/>
        <w:adjustRightInd w:val="0"/>
        <w:snapToGrid w:val="0"/>
        <w:spacing w:line="579" w:lineRule="exact"/>
        <w:ind w:left="0" w:firstLine="640" w:firstLineChars="200"/>
        <w:jc w:val="left"/>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val="en-US" w:eastAsia="zh-CN"/>
        </w:rPr>
        <w:t>我中心内设</w:t>
      </w:r>
      <w:r>
        <w:rPr>
          <w:rFonts w:hint="eastAsia" w:ascii="方正仿宋_GBK" w:hAnsi="方正仿宋_GBK" w:eastAsia="方正仿宋_GBK" w:cs="方正仿宋_GBK"/>
          <w:sz w:val="32"/>
          <w:szCs w:val="32"/>
        </w:rPr>
        <w:t>综合科</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港政</w:t>
      </w:r>
      <w:r>
        <w:rPr>
          <w:rFonts w:hint="eastAsia" w:ascii="方正仿宋_GBK" w:hAnsi="方正仿宋_GBK" w:eastAsia="方正仿宋_GBK" w:cs="方正仿宋_GBK"/>
          <w:sz w:val="32"/>
          <w:szCs w:val="32"/>
          <w:lang w:eastAsia="zh-CN"/>
        </w:rPr>
        <w:t>事务</w:t>
      </w:r>
      <w:r>
        <w:rPr>
          <w:rFonts w:hint="eastAsia" w:ascii="方正仿宋_GBK" w:hAnsi="方正仿宋_GBK" w:eastAsia="方正仿宋_GBK" w:cs="方正仿宋_GBK"/>
          <w:sz w:val="32"/>
          <w:szCs w:val="32"/>
        </w:rPr>
        <w:t>科</w:t>
      </w:r>
      <w:r>
        <w:rPr>
          <w:rFonts w:hint="eastAsia" w:ascii="方正仿宋_GBK" w:hAnsi="方正仿宋_GBK" w:eastAsia="方正仿宋_GBK" w:cs="方正仿宋_GBK"/>
          <w:sz w:val="32"/>
          <w:szCs w:val="32"/>
          <w:lang w:val="en-US" w:eastAsia="zh-CN"/>
        </w:rPr>
        <w:t>、</w:t>
      </w:r>
      <w:r>
        <w:rPr>
          <w:rFonts w:hint="eastAsia" w:ascii="方正仿宋_GBK" w:hAnsi="方正仿宋_GBK" w:eastAsia="方正仿宋_GBK" w:cs="方正仿宋_GBK"/>
          <w:sz w:val="32"/>
          <w:szCs w:val="32"/>
        </w:rPr>
        <w:t>运政</w:t>
      </w:r>
      <w:r>
        <w:rPr>
          <w:rFonts w:hint="eastAsia" w:ascii="方正仿宋_GBK" w:hAnsi="方正仿宋_GBK" w:eastAsia="方正仿宋_GBK" w:cs="方正仿宋_GBK"/>
          <w:sz w:val="32"/>
          <w:szCs w:val="32"/>
          <w:lang w:eastAsia="zh-CN"/>
        </w:rPr>
        <w:t>事务</w:t>
      </w:r>
      <w:r>
        <w:rPr>
          <w:rFonts w:hint="eastAsia" w:ascii="方正仿宋_GBK" w:hAnsi="方正仿宋_GBK" w:eastAsia="方正仿宋_GBK" w:cs="方正仿宋_GBK"/>
          <w:sz w:val="32"/>
          <w:szCs w:val="32"/>
        </w:rPr>
        <w:t>科</w:t>
      </w:r>
      <w:r>
        <w:rPr>
          <w:rFonts w:hint="eastAsia" w:ascii="方正仿宋_GBK" w:hAnsi="方正仿宋_GBK" w:eastAsia="方正仿宋_GBK" w:cs="方正仿宋_GBK"/>
          <w:sz w:val="32"/>
          <w:szCs w:val="32"/>
          <w:lang w:val="en-US" w:eastAsia="zh-CN"/>
        </w:rPr>
        <w:t>、</w:t>
      </w:r>
      <w:r>
        <w:rPr>
          <w:rFonts w:hint="eastAsia" w:ascii="方正仿宋_GBK" w:hAnsi="方正仿宋_GBK" w:eastAsia="方正仿宋_GBK" w:cs="方正仿宋_GBK"/>
          <w:sz w:val="32"/>
          <w:szCs w:val="32"/>
        </w:rPr>
        <w:t>渡口</w:t>
      </w:r>
      <w:r>
        <w:rPr>
          <w:rFonts w:hint="eastAsia" w:ascii="方正仿宋_GBK" w:hAnsi="方正仿宋_GBK" w:eastAsia="方正仿宋_GBK" w:cs="方正仿宋_GBK"/>
          <w:sz w:val="32"/>
          <w:szCs w:val="32"/>
          <w:lang w:eastAsia="zh-CN"/>
        </w:rPr>
        <w:t>航道</w:t>
      </w:r>
      <w:r>
        <w:rPr>
          <w:rFonts w:hint="eastAsia" w:ascii="方正仿宋_GBK" w:hAnsi="方正仿宋_GBK" w:eastAsia="方正仿宋_GBK" w:cs="方正仿宋_GBK"/>
          <w:sz w:val="32"/>
          <w:szCs w:val="32"/>
        </w:rPr>
        <w:t>科</w:t>
      </w:r>
      <w:r>
        <w:rPr>
          <w:rFonts w:hint="eastAsia" w:ascii="方正仿宋_GBK" w:hAnsi="方正仿宋_GBK" w:eastAsia="方正仿宋_GBK" w:cs="方正仿宋_GBK"/>
          <w:sz w:val="32"/>
          <w:szCs w:val="32"/>
          <w:lang w:eastAsia="zh-CN"/>
        </w:rPr>
        <w:t>、</w:t>
      </w:r>
    </w:p>
    <w:p w14:paraId="471E9EAF">
      <w:pPr>
        <w:keepNext w:val="0"/>
        <w:keepLines w:val="0"/>
        <w:pageBreakBefore w:val="0"/>
        <w:widowControl w:val="0"/>
        <w:suppressLineNumbers w:val="0"/>
        <w:suppressAutoHyphens w:val="0"/>
        <w:kinsoku/>
        <w:wordWrap/>
        <w:overflowPunct/>
        <w:topLinePunct w:val="0"/>
        <w:autoSpaceDE/>
        <w:autoSpaceDN/>
        <w:bidi w:val="0"/>
        <w:adjustRightInd w:val="0"/>
        <w:snapToGrid w:val="0"/>
        <w:spacing w:line="579" w:lineRule="exact"/>
        <w:textAlignment w:val="auto"/>
        <w:rPr>
          <w:rFonts w:hint="default" w:ascii="方正仿宋_GBK" w:hAnsi="方正仿宋_GBK" w:eastAsia="方正仿宋_GBK" w:cs="方正仿宋_GBK"/>
          <w:kern w:val="0"/>
          <w:sz w:val="32"/>
          <w:szCs w:val="32"/>
          <w:lang w:val="en-US" w:eastAsia="zh-CN"/>
        </w:rPr>
      </w:pPr>
      <w:r>
        <w:rPr>
          <w:rFonts w:hint="eastAsia" w:ascii="方正仿宋_GBK" w:hAnsi="方正仿宋_GBK" w:eastAsia="方正仿宋_GBK" w:cs="方正仿宋_GBK"/>
          <w:sz w:val="32"/>
          <w:szCs w:val="32"/>
        </w:rPr>
        <w:t>安全环保科</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港航</w:t>
      </w:r>
      <w:r>
        <w:rPr>
          <w:rFonts w:hint="eastAsia" w:ascii="方正仿宋_GBK" w:hAnsi="方正仿宋_GBK" w:eastAsia="方正仿宋_GBK" w:cs="方正仿宋_GBK"/>
          <w:sz w:val="32"/>
          <w:szCs w:val="32"/>
          <w:lang w:eastAsia="zh-CN"/>
        </w:rPr>
        <w:t>事务</w:t>
      </w:r>
      <w:r>
        <w:rPr>
          <w:rFonts w:hint="eastAsia" w:ascii="方正仿宋_GBK" w:hAnsi="方正仿宋_GBK" w:eastAsia="方正仿宋_GBK" w:cs="方正仿宋_GBK"/>
          <w:sz w:val="32"/>
          <w:szCs w:val="32"/>
        </w:rPr>
        <w:t>科</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共六个科室。</w:t>
      </w:r>
    </w:p>
    <w:p w14:paraId="2B518F95">
      <w:pPr>
        <w:keepNext w:val="0"/>
        <w:keepLines w:val="0"/>
        <w:pageBreakBefore w:val="0"/>
        <w:widowControl w:val="0"/>
        <w:numPr>
          <w:ilvl w:val="0"/>
          <w:numId w:val="3"/>
        </w:numPr>
        <w:kinsoku/>
        <w:wordWrap/>
        <w:overflowPunct/>
        <w:topLinePunct w:val="0"/>
        <w:autoSpaceDE/>
        <w:autoSpaceDN/>
        <w:bidi w:val="0"/>
        <w:adjustRightInd/>
        <w:snapToGrid/>
        <w:spacing w:line="579" w:lineRule="exact"/>
        <w:ind w:firstLine="640" w:firstLineChars="200"/>
        <w:textAlignment w:val="auto"/>
        <w:outlineLvl w:val="0"/>
        <w:rPr>
          <w:rFonts w:hint="eastAsia" w:ascii="宋体" w:hAnsi="宋体" w:eastAsia="方正黑体_GBK" w:cs="方正黑体_GBK"/>
          <w:sz w:val="32"/>
          <w:szCs w:val="32"/>
        </w:rPr>
      </w:pPr>
      <w:r>
        <w:rPr>
          <w:rFonts w:hint="eastAsia" w:ascii="宋体" w:hAnsi="宋体" w:eastAsia="方正黑体_GBK" w:cs="方正黑体_GBK"/>
          <w:sz w:val="32"/>
          <w:szCs w:val="32"/>
        </w:rPr>
        <w:t>部门决算情况</w:t>
      </w:r>
    </w:p>
    <w:p w14:paraId="3BF089E5">
      <w:pPr>
        <w:keepNext w:val="0"/>
        <w:keepLines w:val="0"/>
        <w:pageBreakBefore w:val="0"/>
        <w:widowControl w:val="0"/>
        <w:numPr>
          <w:ilvl w:val="0"/>
          <w:numId w:val="4"/>
        </w:numPr>
        <w:kinsoku/>
        <w:wordWrap/>
        <w:overflowPunct/>
        <w:topLinePunct w:val="0"/>
        <w:autoSpaceDE/>
        <w:autoSpaceDN/>
        <w:bidi w:val="0"/>
        <w:adjustRightInd/>
        <w:snapToGrid/>
        <w:spacing w:line="579" w:lineRule="exact"/>
        <w:ind w:firstLine="640" w:firstLineChars="200"/>
        <w:textAlignment w:val="auto"/>
        <w:outlineLvl w:val="1"/>
        <w:rPr>
          <w:rFonts w:hint="eastAsia" w:ascii="宋体" w:hAnsi="宋体" w:eastAsia="方正楷体_GBK" w:cs="方正楷体_GBK"/>
          <w:sz w:val="32"/>
          <w:szCs w:val="32"/>
          <w:lang w:val="en-US" w:eastAsia="zh-CN"/>
        </w:rPr>
      </w:pPr>
      <w:r>
        <w:rPr>
          <w:rFonts w:hint="eastAsia" w:ascii="宋体" w:hAnsi="宋体" w:eastAsia="方正楷体_GBK" w:cs="方正楷体_GBK"/>
          <w:sz w:val="32"/>
          <w:szCs w:val="32"/>
          <w:lang w:val="en-US" w:eastAsia="zh-CN"/>
        </w:rPr>
        <w:t>部门收支总体情况</w:t>
      </w:r>
    </w:p>
    <w:p w14:paraId="2470BDEF">
      <w:pPr>
        <w:keepNext w:val="0"/>
        <w:keepLines w:val="0"/>
        <w:pageBreakBefore w:val="0"/>
        <w:widowControl w:val="0"/>
        <w:numPr>
          <w:ilvl w:val="0"/>
          <w:numId w:val="5"/>
        </w:numPr>
        <w:kinsoku/>
        <w:wordWrap/>
        <w:overflowPunct/>
        <w:topLinePunct w:val="0"/>
        <w:autoSpaceDE/>
        <w:autoSpaceDN/>
        <w:bidi w:val="0"/>
        <w:adjustRightInd/>
        <w:snapToGrid/>
        <w:spacing w:line="579" w:lineRule="exact"/>
        <w:ind w:firstLine="643" w:firstLineChars="200"/>
        <w:textAlignment w:val="auto"/>
        <w:rPr>
          <w:rFonts w:hint="eastAsia" w:ascii="宋体" w:hAnsi="宋体" w:eastAsia="方正仿宋_GBK" w:cs="方正仿宋_GBK"/>
          <w:b/>
          <w:bCs/>
          <w:sz w:val="32"/>
          <w:szCs w:val="32"/>
          <w:lang w:val="en-US" w:eastAsia="zh-CN"/>
        </w:rPr>
      </w:pPr>
      <w:r>
        <w:rPr>
          <w:rFonts w:hint="eastAsia" w:ascii="宋体" w:hAnsi="宋体" w:eastAsia="方正仿宋_GBK" w:cs="方正仿宋_GBK"/>
          <w:b/>
          <w:bCs/>
          <w:sz w:val="32"/>
          <w:szCs w:val="32"/>
          <w:lang w:val="en-US" w:eastAsia="zh-CN"/>
        </w:rPr>
        <w:t>收入支出总体情况。</w:t>
      </w:r>
      <w:r>
        <w:rPr>
          <w:rFonts w:hint="eastAsia" w:ascii="宋体" w:hAnsi="宋体" w:eastAsia="方正仿宋_GBK" w:cs="方正仿宋_GBK"/>
          <w:b w:val="0"/>
          <w:bCs w:val="0"/>
          <w:sz w:val="32"/>
          <w:szCs w:val="32"/>
          <w:lang w:val="en-US" w:eastAsia="zh-CN"/>
        </w:rPr>
        <w:t>2024年度收入总计1637.22万元，支出总计1637.22万元。收支较上年增加142.02万元，增长8.67%，主要原因为本年度项目增加。</w:t>
      </w:r>
    </w:p>
    <w:p w14:paraId="34D012A2">
      <w:pPr>
        <w:keepNext w:val="0"/>
        <w:keepLines w:val="0"/>
        <w:pageBreakBefore w:val="0"/>
        <w:widowControl w:val="0"/>
        <w:numPr>
          <w:ilvl w:val="0"/>
          <w:numId w:val="5"/>
        </w:numPr>
        <w:kinsoku/>
        <w:wordWrap/>
        <w:overflowPunct/>
        <w:topLinePunct w:val="0"/>
        <w:autoSpaceDE/>
        <w:autoSpaceDN/>
        <w:bidi w:val="0"/>
        <w:adjustRightInd/>
        <w:snapToGrid/>
        <w:spacing w:line="579" w:lineRule="exact"/>
        <w:ind w:firstLine="643" w:firstLineChars="200"/>
        <w:textAlignment w:val="auto"/>
        <w:rPr>
          <w:rFonts w:hint="eastAsia" w:ascii="宋体" w:hAnsi="宋体" w:eastAsia="方正仿宋_GBK" w:cs="方正仿宋_GBK"/>
          <w:b/>
          <w:bCs/>
          <w:sz w:val="32"/>
          <w:szCs w:val="32"/>
          <w:lang w:val="en-US" w:eastAsia="zh-CN"/>
        </w:rPr>
      </w:pPr>
      <w:r>
        <w:rPr>
          <w:rFonts w:hint="eastAsia" w:ascii="宋体" w:hAnsi="宋体" w:eastAsia="方正仿宋_GBK" w:cs="方正仿宋_GBK"/>
          <w:b/>
          <w:bCs/>
          <w:sz w:val="32"/>
          <w:szCs w:val="32"/>
          <w:lang w:val="en-US" w:eastAsia="zh-CN"/>
        </w:rPr>
        <w:t>收入情况。</w:t>
      </w:r>
      <w:r>
        <w:rPr>
          <w:rFonts w:hint="eastAsia" w:ascii="宋体" w:hAnsi="宋体" w:eastAsia="方正仿宋_GBK" w:cs="方正仿宋_GBK"/>
          <w:b w:val="0"/>
          <w:bCs w:val="0"/>
          <w:sz w:val="32"/>
          <w:szCs w:val="32"/>
          <w:lang w:val="en-US" w:eastAsia="zh-CN"/>
        </w:rPr>
        <w:t>2024年度本年收入合计1637.22万元，较上年增加142.02万元，增长8.67%，主要原因为本年度项目增加。其中：财政拨款收入1637.22万元，占比100%。</w:t>
      </w:r>
      <w:r>
        <w:rPr>
          <w:rFonts w:ascii="方正仿宋_GBK" w:hAnsi="方正仿宋_GBK" w:eastAsia="方正仿宋_GBK" w:cs="方正仿宋_GBK"/>
          <w:sz w:val="32"/>
          <w:szCs w:val="32"/>
          <w:shd w:val="clear" w:color="auto" w:fill="FFFFFF"/>
        </w:rPr>
        <w:t>此外，使用非财政拨款结余和专用结余</w:t>
      </w:r>
      <w:r>
        <w:rPr>
          <w:rFonts w:hint="eastAsia" w:ascii="方正仿宋_GBK" w:hAnsi="方正仿宋_GBK" w:eastAsia="方正仿宋_GBK" w:cs="方正仿宋_GBK"/>
          <w:sz w:val="32"/>
          <w:szCs w:val="32"/>
          <w:lang w:val="en-US" w:eastAsia="zh-CN"/>
        </w:rPr>
        <w:t>0</w:t>
      </w:r>
      <w:r>
        <w:rPr>
          <w:rFonts w:ascii="方正仿宋_GBK" w:hAnsi="方正仿宋_GBK" w:eastAsia="方正仿宋_GBK" w:cs="方正仿宋_GBK"/>
          <w:sz w:val="32"/>
          <w:szCs w:val="32"/>
          <w:shd w:val="clear" w:color="auto" w:fill="FFFFFF"/>
        </w:rPr>
        <w:t>万元，年初结转和结余</w:t>
      </w:r>
      <w:r>
        <w:rPr>
          <w:rFonts w:hint="eastAsia" w:ascii="方正仿宋_GBK" w:hAnsi="方正仿宋_GBK" w:eastAsia="方正仿宋_GBK" w:cs="方正仿宋_GBK"/>
          <w:sz w:val="32"/>
          <w:szCs w:val="32"/>
          <w:shd w:val="clear" w:color="auto" w:fill="FFFFFF"/>
          <w:lang w:val="en-US" w:eastAsia="zh-CN"/>
        </w:rPr>
        <w:t>0</w:t>
      </w:r>
      <w:r>
        <w:rPr>
          <w:rFonts w:ascii="方正仿宋_GBK" w:hAnsi="方正仿宋_GBK" w:eastAsia="方正仿宋_GBK" w:cs="方正仿宋_GBK"/>
          <w:sz w:val="32"/>
          <w:szCs w:val="32"/>
          <w:shd w:val="clear" w:color="auto" w:fill="FFFFFF"/>
        </w:rPr>
        <w:t>万元。</w:t>
      </w:r>
    </w:p>
    <w:p w14:paraId="6EA89B53">
      <w:pPr>
        <w:keepNext w:val="0"/>
        <w:keepLines w:val="0"/>
        <w:pageBreakBefore w:val="0"/>
        <w:widowControl w:val="0"/>
        <w:numPr>
          <w:ilvl w:val="0"/>
          <w:numId w:val="5"/>
        </w:numPr>
        <w:kinsoku/>
        <w:wordWrap/>
        <w:overflowPunct/>
        <w:topLinePunct w:val="0"/>
        <w:autoSpaceDE/>
        <w:autoSpaceDN/>
        <w:bidi w:val="0"/>
        <w:adjustRightInd/>
        <w:snapToGrid/>
        <w:spacing w:line="579" w:lineRule="exact"/>
        <w:ind w:firstLine="643" w:firstLineChars="200"/>
        <w:textAlignment w:val="auto"/>
        <w:rPr>
          <w:rFonts w:hint="eastAsia" w:ascii="宋体" w:hAnsi="宋体" w:eastAsia="方正仿宋_GBK" w:cs="方正仿宋_GBK"/>
          <w:b/>
          <w:bCs/>
          <w:sz w:val="32"/>
          <w:szCs w:val="32"/>
          <w:lang w:val="en-US" w:eastAsia="zh-CN"/>
        </w:rPr>
      </w:pPr>
      <w:r>
        <w:rPr>
          <w:rFonts w:hint="eastAsia" w:ascii="宋体" w:hAnsi="宋体" w:eastAsia="方正仿宋_GBK" w:cs="方正仿宋_GBK"/>
          <w:b/>
          <w:bCs/>
          <w:sz w:val="32"/>
          <w:szCs w:val="32"/>
          <w:lang w:val="en-US" w:eastAsia="zh-CN"/>
        </w:rPr>
        <w:t>支出情况。</w:t>
      </w:r>
      <w:r>
        <w:rPr>
          <w:rFonts w:hint="eastAsia" w:ascii="宋体" w:hAnsi="宋体" w:eastAsia="方正仿宋_GBK" w:cs="方正仿宋_GBK"/>
          <w:b w:val="0"/>
          <w:bCs w:val="0"/>
          <w:sz w:val="32"/>
          <w:szCs w:val="32"/>
          <w:lang w:val="en-US" w:eastAsia="zh-CN"/>
        </w:rPr>
        <w:t>2024年度本年支出合计1637.22万元，</w:t>
      </w:r>
      <w:r>
        <w:rPr>
          <w:rFonts w:hint="eastAsia" w:ascii="宋体" w:hAnsi="宋体" w:eastAsia="方正仿宋_GBK" w:cs="方正仿宋_GBK"/>
          <w:sz w:val="32"/>
        </w:rPr>
        <w:t>较</w:t>
      </w:r>
      <w:r>
        <w:rPr>
          <w:rFonts w:hint="eastAsia" w:ascii="宋体" w:hAnsi="宋体" w:eastAsia="方正仿宋_GBK" w:cs="方正仿宋_GBK"/>
          <w:sz w:val="32"/>
          <w:lang w:val="en-US" w:eastAsia="zh-CN"/>
        </w:rPr>
        <w:t>上年</w:t>
      </w:r>
      <w:r>
        <w:rPr>
          <w:rFonts w:hint="eastAsia" w:ascii="宋体" w:hAnsi="宋体" w:eastAsia="方正仿宋_GBK" w:cs="方正仿宋_GBK"/>
          <w:sz w:val="32"/>
        </w:rPr>
        <w:t>增加</w:t>
      </w:r>
      <w:r>
        <w:rPr>
          <w:rFonts w:hint="eastAsia" w:ascii="宋体" w:hAnsi="宋体" w:eastAsia="方正仿宋_GBK" w:cs="方正仿宋_GBK"/>
          <w:sz w:val="32"/>
          <w:lang w:val="en-US" w:eastAsia="zh-CN"/>
        </w:rPr>
        <w:t>142.02</w:t>
      </w:r>
      <w:r>
        <w:rPr>
          <w:rFonts w:hint="eastAsia" w:ascii="宋体" w:hAnsi="宋体" w:eastAsia="方正仿宋_GBK" w:cs="方正仿宋_GBK"/>
          <w:sz w:val="32"/>
        </w:rPr>
        <w:t>万元，</w:t>
      </w:r>
      <w:r>
        <w:rPr>
          <w:rFonts w:hint="eastAsia" w:ascii="宋体" w:hAnsi="宋体" w:eastAsia="方正仿宋_GBK" w:cs="方正仿宋_GBK"/>
          <w:b w:val="0"/>
          <w:bCs w:val="0"/>
          <w:sz w:val="32"/>
          <w:szCs w:val="32"/>
          <w:lang w:val="en-US" w:eastAsia="zh-CN"/>
        </w:rPr>
        <w:t>增长8.67%，</w:t>
      </w:r>
      <w:r>
        <w:rPr>
          <w:rFonts w:hint="eastAsia" w:ascii="宋体" w:hAnsi="宋体" w:eastAsia="方正仿宋_GBK" w:cs="方正仿宋_GBK"/>
          <w:sz w:val="32"/>
        </w:rPr>
        <w:t>主要</w:t>
      </w:r>
      <w:r>
        <w:rPr>
          <w:rFonts w:hint="eastAsia" w:ascii="宋体" w:hAnsi="宋体" w:eastAsia="方正仿宋_GBK" w:cs="方正仿宋_GBK"/>
          <w:sz w:val="32"/>
          <w:lang w:val="en-US" w:eastAsia="zh-CN"/>
        </w:rPr>
        <w:t>原因为</w:t>
      </w:r>
      <w:r>
        <w:rPr>
          <w:rFonts w:hint="eastAsia" w:ascii="宋体" w:hAnsi="宋体" w:eastAsia="方正仿宋_GBK" w:cs="方正仿宋_GBK"/>
          <w:b w:val="0"/>
          <w:bCs w:val="0"/>
          <w:sz w:val="32"/>
          <w:szCs w:val="32"/>
          <w:lang w:val="en-US" w:eastAsia="zh-CN"/>
        </w:rPr>
        <w:t>本年度项目增加</w:t>
      </w:r>
      <w:r>
        <w:rPr>
          <w:rFonts w:hint="eastAsia" w:ascii="宋体" w:hAnsi="宋体" w:eastAsia="方正仿宋_GBK" w:cs="方正仿宋_GBK"/>
          <w:sz w:val="32"/>
          <w:lang w:val="en-US" w:eastAsia="zh-CN"/>
        </w:rPr>
        <w:t>。</w:t>
      </w:r>
      <w:r>
        <w:rPr>
          <w:rFonts w:hint="eastAsia" w:ascii="宋体" w:hAnsi="宋体" w:eastAsia="方正仿宋_GBK" w:cs="方正仿宋_GBK"/>
          <w:b w:val="0"/>
          <w:bCs w:val="0"/>
          <w:sz w:val="32"/>
          <w:szCs w:val="32"/>
          <w:lang w:val="en-US" w:eastAsia="zh-CN"/>
        </w:rPr>
        <w:t>其中：基本支出682.65万元，占比41.7%；项目支出954.57万元，占比58.3%。</w:t>
      </w:r>
    </w:p>
    <w:p w14:paraId="58FEED40">
      <w:pPr>
        <w:keepNext w:val="0"/>
        <w:keepLines w:val="0"/>
        <w:pageBreakBefore w:val="0"/>
        <w:widowControl w:val="0"/>
        <w:numPr>
          <w:ilvl w:val="0"/>
          <w:numId w:val="5"/>
        </w:numPr>
        <w:kinsoku/>
        <w:wordWrap/>
        <w:overflowPunct/>
        <w:topLinePunct w:val="0"/>
        <w:autoSpaceDE/>
        <w:autoSpaceDN/>
        <w:bidi w:val="0"/>
        <w:adjustRightInd/>
        <w:snapToGrid/>
        <w:spacing w:line="579" w:lineRule="exact"/>
        <w:ind w:firstLine="643" w:firstLineChars="200"/>
        <w:textAlignment w:val="auto"/>
        <w:rPr>
          <w:rFonts w:hint="eastAsia" w:ascii="宋体" w:hAnsi="宋体" w:eastAsia="方正仿宋_GBK" w:cs="方正仿宋_GBK"/>
          <w:kern w:val="0"/>
          <w:sz w:val="32"/>
          <w:szCs w:val="32"/>
          <w:lang w:val="en-US" w:eastAsia="zh-CN"/>
        </w:rPr>
      </w:pPr>
      <w:r>
        <w:rPr>
          <w:rFonts w:hint="eastAsia" w:ascii="宋体" w:hAnsi="宋体" w:eastAsia="方正仿宋_GBK" w:cs="方正仿宋_GBK"/>
          <w:b/>
          <w:bCs/>
          <w:sz w:val="32"/>
          <w:szCs w:val="32"/>
          <w:lang w:val="en-US" w:eastAsia="zh-CN"/>
        </w:rPr>
        <w:t>结转结余情况。</w:t>
      </w:r>
      <w:r>
        <w:rPr>
          <w:rFonts w:hint="eastAsia" w:ascii="宋体" w:hAnsi="宋体" w:eastAsia="方正仿宋_GBK" w:cs="方正仿宋_GBK"/>
          <w:b w:val="0"/>
          <w:bCs w:val="0"/>
          <w:sz w:val="32"/>
          <w:szCs w:val="32"/>
          <w:lang w:val="en-US" w:eastAsia="zh-CN"/>
        </w:rPr>
        <w:t>2024年度年末无结转和结余。与2023年度相比一致</w:t>
      </w:r>
      <w:r>
        <w:rPr>
          <w:rFonts w:hint="eastAsia" w:ascii="宋体" w:hAnsi="宋体" w:eastAsia="方正仿宋_GBK" w:cs="方正仿宋_GBK"/>
          <w:kern w:val="0"/>
          <w:sz w:val="32"/>
          <w:szCs w:val="32"/>
          <w:lang w:val="en-US" w:eastAsia="zh-CN"/>
        </w:rPr>
        <w:t>。</w:t>
      </w:r>
    </w:p>
    <w:p w14:paraId="69B421B5">
      <w:pPr>
        <w:keepNext w:val="0"/>
        <w:keepLines w:val="0"/>
        <w:pageBreakBefore w:val="0"/>
        <w:widowControl w:val="0"/>
        <w:numPr>
          <w:ilvl w:val="0"/>
          <w:numId w:val="4"/>
        </w:numPr>
        <w:kinsoku/>
        <w:wordWrap/>
        <w:overflowPunct/>
        <w:topLinePunct w:val="0"/>
        <w:autoSpaceDE/>
        <w:autoSpaceDN/>
        <w:bidi w:val="0"/>
        <w:adjustRightInd/>
        <w:snapToGrid/>
        <w:spacing w:line="579" w:lineRule="exact"/>
        <w:ind w:firstLine="640" w:firstLineChars="200"/>
        <w:textAlignment w:val="auto"/>
        <w:outlineLvl w:val="1"/>
        <w:rPr>
          <w:rFonts w:hint="eastAsia" w:ascii="宋体" w:hAnsi="宋体" w:eastAsia="方正楷体_GBK" w:cs="方正楷体_GBK"/>
          <w:sz w:val="32"/>
          <w:szCs w:val="32"/>
          <w:lang w:val="en-US" w:eastAsia="zh-CN"/>
        </w:rPr>
      </w:pPr>
      <w:r>
        <w:rPr>
          <w:rFonts w:hint="eastAsia" w:ascii="宋体" w:hAnsi="宋体" w:eastAsia="方正楷体_GBK" w:cs="方正楷体_GBK"/>
          <w:sz w:val="32"/>
          <w:szCs w:val="32"/>
          <w:lang w:val="en-US" w:eastAsia="zh-CN"/>
        </w:rPr>
        <w:t>财政拨款收支总体情况</w:t>
      </w:r>
    </w:p>
    <w:p w14:paraId="2A7D6514">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lang w:val="en-US" w:eastAsia="zh-CN"/>
        </w:rPr>
      </w:pPr>
      <w:r>
        <w:rPr>
          <w:rFonts w:hint="eastAsia" w:ascii="宋体" w:hAnsi="宋体" w:eastAsia="方正仿宋_GBK" w:cs="方正仿宋_GBK"/>
          <w:sz w:val="32"/>
          <w:lang w:val="en-US" w:eastAsia="zh-CN"/>
        </w:rPr>
        <w:t>2024年度财政拨款收入总计1637.22万元，支出总计1637.22万元。</w:t>
      </w:r>
      <w:r>
        <w:rPr>
          <w:rFonts w:hint="eastAsia" w:ascii="宋体" w:hAnsi="宋体" w:eastAsia="方正仿宋_GBK" w:cs="方正仿宋_GBK"/>
          <w:sz w:val="32"/>
        </w:rPr>
        <w:t>收支较上年增加</w:t>
      </w:r>
      <w:r>
        <w:rPr>
          <w:rFonts w:hint="eastAsia" w:ascii="宋体" w:hAnsi="宋体" w:eastAsia="方正仿宋_GBK" w:cs="方正仿宋_GBK"/>
          <w:sz w:val="32"/>
          <w:lang w:val="en-US" w:eastAsia="zh-CN"/>
        </w:rPr>
        <w:t>142.02</w:t>
      </w:r>
      <w:r>
        <w:rPr>
          <w:rFonts w:hint="eastAsia" w:ascii="宋体" w:hAnsi="宋体" w:eastAsia="方正仿宋_GBK" w:cs="方正仿宋_GBK"/>
          <w:sz w:val="32"/>
        </w:rPr>
        <w:t>万元</w:t>
      </w:r>
      <w:r>
        <w:rPr>
          <w:rFonts w:hint="eastAsia" w:ascii="宋体" w:hAnsi="宋体" w:eastAsia="方正仿宋_GBK" w:cs="方正仿宋_GBK"/>
          <w:sz w:val="32"/>
          <w:lang w:eastAsia="zh-CN"/>
        </w:rPr>
        <w:t>，</w:t>
      </w:r>
      <w:r>
        <w:rPr>
          <w:rFonts w:hint="eastAsia" w:ascii="宋体" w:hAnsi="宋体" w:eastAsia="方正仿宋_GBK" w:cs="方正仿宋_GBK"/>
          <w:sz w:val="32"/>
          <w:lang w:val="en-US" w:eastAsia="zh-CN"/>
        </w:rPr>
        <w:t>增长8.67%，</w:t>
      </w:r>
      <w:r>
        <w:rPr>
          <w:rFonts w:hint="eastAsia" w:ascii="宋体" w:hAnsi="宋体" w:eastAsia="方正仿宋_GBK" w:cs="方正仿宋_GBK"/>
          <w:sz w:val="32"/>
        </w:rPr>
        <w:t>主要原因</w:t>
      </w:r>
      <w:r>
        <w:rPr>
          <w:rFonts w:hint="eastAsia" w:ascii="宋体" w:hAnsi="宋体" w:eastAsia="方正仿宋_GBK" w:cs="方正仿宋_GBK"/>
          <w:sz w:val="32"/>
          <w:lang w:val="en-US" w:eastAsia="zh-CN"/>
        </w:rPr>
        <w:t>为</w:t>
      </w:r>
      <w:r>
        <w:rPr>
          <w:rFonts w:hint="eastAsia" w:ascii="宋体" w:hAnsi="宋体" w:eastAsia="方正仿宋_GBK" w:cs="方正仿宋_GBK"/>
          <w:b w:val="0"/>
          <w:bCs w:val="0"/>
          <w:sz w:val="32"/>
          <w:szCs w:val="32"/>
          <w:lang w:val="en-US" w:eastAsia="zh-CN"/>
        </w:rPr>
        <w:t>本年度项目增加</w:t>
      </w:r>
      <w:r>
        <w:rPr>
          <w:rFonts w:hint="eastAsia" w:ascii="宋体" w:hAnsi="宋体" w:eastAsia="方正仿宋_GBK" w:cs="方正仿宋_GBK"/>
          <w:sz w:val="32"/>
          <w:lang w:val="en-US" w:eastAsia="zh-CN"/>
        </w:rPr>
        <w:t>。</w:t>
      </w:r>
    </w:p>
    <w:p w14:paraId="30AC7937">
      <w:pPr>
        <w:keepNext w:val="0"/>
        <w:keepLines w:val="0"/>
        <w:pageBreakBefore w:val="0"/>
        <w:widowControl w:val="0"/>
        <w:numPr>
          <w:ilvl w:val="0"/>
          <w:numId w:val="4"/>
        </w:numPr>
        <w:kinsoku/>
        <w:wordWrap/>
        <w:overflowPunct/>
        <w:topLinePunct w:val="0"/>
        <w:autoSpaceDE/>
        <w:autoSpaceDN/>
        <w:bidi w:val="0"/>
        <w:adjustRightInd/>
        <w:snapToGrid/>
        <w:spacing w:line="579" w:lineRule="exact"/>
        <w:ind w:firstLine="640" w:firstLineChars="200"/>
        <w:textAlignment w:val="auto"/>
        <w:outlineLvl w:val="1"/>
        <w:rPr>
          <w:rFonts w:hint="eastAsia" w:ascii="宋体" w:hAnsi="宋体" w:eastAsia="方正楷体_GBK" w:cs="方正楷体_GBK"/>
          <w:sz w:val="32"/>
          <w:szCs w:val="32"/>
          <w:lang w:val="en-US" w:eastAsia="zh-CN"/>
        </w:rPr>
      </w:pPr>
      <w:r>
        <w:rPr>
          <w:rFonts w:hint="eastAsia" w:ascii="宋体" w:hAnsi="宋体" w:eastAsia="方正楷体_GBK" w:cs="方正楷体_GBK"/>
          <w:sz w:val="32"/>
          <w:szCs w:val="32"/>
          <w:lang w:val="en-US" w:eastAsia="zh-CN"/>
        </w:rPr>
        <w:t>一般公共预算财政拨款收支总体情况</w:t>
      </w:r>
    </w:p>
    <w:p w14:paraId="4BC0139B">
      <w:pPr>
        <w:keepNext w:val="0"/>
        <w:keepLines w:val="0"/>
        <w:pageBreakBefore w:val="0"/>
        <w:numPr>
          <w:ilvl w:val="0"/>
          <w:numId w:val="6"/>
        </w:numPr>
        <w:kinsoku/>
        <w:wordWrap/>
        <w:overflowPunct/>
        <w:topLinePunct w:val="0"/>
        <w:autoSpaceDN/>
        <w:bidi w:val="0"/>
        <w:snapToGrid/>
        <w:spacing w:line="579" w:lineRule="exact"/>
        <w:ind w:firstLine="643" w:firstLineChars="200"/>
        <w:textAlignment w:val="auto"/>
        <w:rPr>
          <w:rFonts w:hint="eastAsia" w:ascii="宋体" w:hAnsi="宋体" w:eastAsia="方正仿宋_GBK" w:cs="方正仿宋_GBK"/>
          <w:b/>
          <w:bCs/>
          <w:sz w:val="32"/>
          <w:lang w:val="en-US" w:eastAsia="zh-CN"/>
        </w:rPr>
      </w:pPr>
      <w:r>
        <w:rPr>
          <w:rFonts w:hint="eastAsia" w:ascii="宋体" w:hAnsi="宋体" w:eastAsia="方正仿宋_GBK" w:cs="方正仿宋_GBK"/>
          <w:b/>
          <w:bCs/>
          <w:sz w:val="32"/>
          <w:lang w:val="en-US" w:eastAsia="zh-CN"/>
        </w:rPr>
        <w:t>收入情况。</w:t>
      </w:r>
      <w:r>
        <w:rPr>
          <w:rFonts w:hint="eastAsia" w:ascii="宋体" w:hAnsi="宋体" w:eastAsia="方正仿宋_GBK" w:cs="方正仿宋_GBK"/>
          <w:color w:val="auto"/>
          <w:sz w:val="32"/>
        </w:rPr>
        <w:t>202</w:t>
      </w:r>
      <w:r>
        <w:rPr>
          <w:rFonts w:hint="eastAsia" w:ascii="宋体" w:hAnsi="宋体" w:eastAsia="方正仿宋_GBK" w:cs="方正仿宋_GBK"/>
          <w:color w:val="auto"/>
          <w:sz w:val="32"/>
          <w:lang w:val="en-US" w:eastAsia="zh-CN"/>
        </w:rPr>
        <w:t>4</w:t>
      </w:r>
      <w:r>
        <w:rPr>
          <w:rFonts w:hint="eastAsia" w:ascii="宋体" w:hAnsi="宋体" w:eastAsia="方正仿宋_GBK" w:cs="方正仿宋_GBK"/>
          <w:color w:val="auto"/>
          <w:sz w:val="32"/>
        </w:rPr>
        <w:t>年度一般公共预算财政拨款收入</w:t>
      </w:r>
      <w:r>
        <w:rPr>
          <w:rFonts w:hint="eastAsia" w:ascii="宋体" w:hAnsi="宋体" w:eastAsia="方正仿宋_GBK" w:cs="方正仿宋_GBK"/>
          <w:color w:val="auto"/>
          <w:sz w:val="32"/>
          <w:lang w:val="en-US" w:eastAsia="zh-CN"/>
        </w:rPr>
        <w:t>1342.66</w:t>
      </w:r>
      <w:r>
        <w:rPr>
          <w:rFonts w:hint="eastAsia" w:ascii="宋体" w:hAnsi="宋体" w:eastAsia="方正仿宋_GBK" w:cs="方正仿宋_GBK"/>
          <w:color w:val="auto"/>
          <w:sz w:val="32"/>
        </w:rPr>
        <w:t>万元，较上年</w:t>
      </w:r>
      <w:r>
        <w:rPr>
          <w:rFonts w:hint="eastAsia" w:ascii="宋体" w:hAnsi="宋体" w:eastAsia="方正仿宋_GBK" w:cs="方正仿宋_GBK"/>
          <w:color w:val="auto"/>
          <w:sz w:val="32"/>
          <w:lang w:val="en-US" w:eastAsia="zh-CN"/>
        </w:rPr>
        <w:t>决算数减少152.54</w:t>
      </w:r>
      <w:r>
        <w:rPr>
          <w:rFonts w:hint="eastAsia" w:ascii="宋体" w:hAnsi="宋体" w:eastAsia="方正仿宋_GBK" w:cs="方正仿宋_GBK"/>
          <w:color w:val="auto"/>
          <w:sz w:val="32"/>
        </w:rPr>
        <w:t>万元，</w:t>
      </w:r>
      <w:r>
        <w:rPr>
          <w:rFonts w:hint="eastAsia" w:ascii="宋体" w:hAnsi="宋体" w:eastAsia="方正仿宋_GBK" w:cs="方正仿宋_GBK"/>
          <w:color w:val="auto"/>
          <w:sz w:val="32"/>
          <w:lang w:val="en-US" w:eastAsia="zh-CN"/>
        </w:rPr>
        <w:t>减少10.2</w:t>
      </w:r>
      <w:r>
        <w:rPr>
          <w:rFonts w:hint="eastAsia" w:ascii="宋体" w:hAnsi="宋体" w:eastAsia="方正仿宋_GBK" w:cs="方正仿宋_GBK"/>
          <w:color w:val="auto"/>
          <w:sz w:val="32"/>
        </w:rPr>
        <w:t>%</w:t>
      </w:r>
      <w:r>
        <w:rPr>
          <w:rFonts w:hint="eastAsia" w:ascii="宋体" w:hAnsi="宋体" w:eastAsia="方正仿宋_GBK" w:cs="方正仿宋_GBK"/>
          <w:color w:val="auto"/>
          <w:sz w:val="32"/>
          <w:lang w:eastAsia="zh-CN"/>
        </w:rPr>
        <w:t>，</w:t>
      </w:r>
      <w:r>
        <w:rPr>
          <w:rFonts w:hint="eastAsia" w:ascii="宋体" w:hAnsi="宋体" w:eastAsia="方正仿宋_GBK" w:cs="方正仿宋_GBK"/>
          <w:color w:val="auto"/>
          <w:sz w:val="32"/>
        </w:rPr>
        <w:t>主要原因</w:t>
      </w:r>
      <w:r>
        <w:rPr>
          <w:rFonts w:hint="eastAsia" w:ascii="宋体" w:hAnsi="宋体" w:eastAsia="方正仿宋_GBK" w:cs="方正仿宋_GBK"/>
          <w:color w:val="auto"/>
          <w:sz w:val="32"/>
          <w:lang w:val="en-US" w:eastAsia="zh-CN"/>
        </w:rPr>
        <w:t>为本年度增加的项目为政府性基金。较年初预算数减少332.56万元，减少19.85%，主要原因是本年度增加的项目为政府性基金，故一般公共预算财政拨款收入减少。</w:t>
      </w:r>
      <w:r>
        <w:rPr>
          <w:rFonts w:ascii="方正仿宋_GBK" w:hAnsi="方正仿宋_GBK" w:eastAsia="方正仿宋_GBK" w:cs="方正仿宋_GBK"/>
          <w:sz w:val="32"/>
          <w:szCs w:val="32"/>
          <w:shd w:val="clear" w:color="auto" w:fill="FFFFFF"/>
        </w:rPr>
        <w:t>此外，年初财政拨款结转和结余</w:t>
      </w:r>
      <w:r>
        <w:rPr>
          <w:rFonts w:hint="eastAsia" w:ascii="方正仿宋_GBK" w:hAnsi="方正仿宋_GBK" w:eastAsia="方正仿宋_GBK" w:cs="方正仿宋_GBK"/>
          <w:sz w:val="32"/>
          <w:szCs w:val="32"/>
          <w:lang w:val="en-US" w:eastAsia="zh-CN"/>
        </w:rPr>
        <w:t>0</w:t>
      </w:r>
      <w:r>
        <w:rPr>
          <w:rFonts w:ascii="方正仿宋_GBK" w:hAnsi="方正仿宋_GBK" w:eastAsia="方正仿宋_GBK" w:cs="方正仿宋_GBK"/>
          <w:sz w:val="32"/>
          <w:szCs w:val="32"/>
          <w:shd w:val="clear" w:color="auto" w:fill="FFFFFF"/>
        </w:rPr>
        <w:t>万元。</w:t>
      </w:r>
    </w:p>
    <w:p w14:paraId="139A85C3">
      <w:pPr>
        <w:keepNext w:val="0"/>
        <w:keepLines w:val="0"/>
        <w:pageBreakBefore w:val="0"/>
        <w:numPr>
          <w:ilvl w:val="0"/>
          <w:numId w:val="6"/>
        </w:numPr>
        <w:kinsoku/>
        <w:wordWrap/>
        <w:overflowPunct/>
        <w:topLinePunct w:val="0"/>
        <w:autoSpaceDN/>
        <w:bidi w:val="0"/>
        <w:snapToGrid/>
        <w:spacing w:line="579" w:lineRule="exact"/>
        <w:ind w:firstLine="643" w:firstLineChars="200"/>
        <w:textAlignment w:val="auto"/>
        <w:rPr>
          <w:rFonts w:hint="eastAsia" w:ascii="宋体" w:hAnsi="宋体" w:eastAsia="方正仿宋_GBK" w:cs="方正仿宋_GBK"/>
          <w:b/>
          <w:bCs/>
          <w:sz w:val="32"/>
          <w:lang w:val="en-US" w:eastAsia="zh-CN"/>
        </w:rPr>
      </w:pPr>
      <w:r>
        <w:rPr>
          <w:rFonts w:hint="eastAsia" w:ascii="宋体" w:hAnsi="宋体" w:eastAsia="方正仿宋_GBK" w:cs="方正仿宋_GBK"/>
          <w:b/>
          <w:bCs/>
          <w:sz w:val="32"/>
          <w:lang w:val="en-US" w:eastAsia="zh-CN"/>
        </w:rPr>
        <w:t>支出情况。</w:t>
      </w:r>
      <w:r>
        <w:rPr>
          <w:rFonts w:hint="eastAsia" w:ascii="宋体" w:hAnsi="宋体" w:eastAsia="方正仿宋_GBK" w:cs="方正仿宋_GBK"/>
          <w:color w:val="auto"/>
          <w:sz w:val="32"/>
          <w:lang w:val="en-US" w:eastAsia="zh-CN"/>
        </w:rPr>
        <w:t>2024年度一般公共预算财政拨款支出1342.66万元，</w:t>
      </w:r>
      <w:r>
        <w:rPr>
          <w:rFonts w:hint="eastAsia" w:ascii="宋体" w:hAnsi="宋体" w:eastAsia="方正仿宋_GBK" w:cs="方正仿宋_GBK"/>
          <w:color w:val="auto"/>
          <w:sz w:val="32"/>
        </w:rPr>
        <w:t>较上年决算数</w:t>
      </w:r>
      <w:r>
        <w:rPr>
          <w:rFonts w:hint="eastAsia" w:ascii="宋体" w:hAnsi="宋体" w:eastAsia="方正仿宋_GBK" w:cs="方正仿宋_GBK"/>
          <w:color w:val="auto"/>
          <w:sz w:val="32"/>
          <w:lang w:val="en-US" w:eastAsia="zh-CN"/>
        </w:rPr>
        <w:t>减少152.54</w:t>
      </w:r>
      <w:r>
        <w:rPr>
          <w:rFonts w:hint="eastAsia" w:ascii="宋体" w:hAnsi="宋体" w:eastAsia="方正仿宋_GBK" w:cs="方正仿宋_GBK"/>
          <w:color w:val="auto"/>
          <w:sz w:val="32"/>
        </w:rPr>
        <w:t>万元，</w:t>
      </w:r>
      <w:r>
        <w:rPr>
          <w:rFonts w:hint="eastAsia" w:ascii="宋体" w:hAnsi="宋体" w:eastAsia="方正仿宋_GBK" w:cs="方正仿宋_GBK"/>
          <w:color w:val="auto"/>
          <w:sz w:val="32"/>
          <w:lang w:val="en-US" w:eastAsia="zh-CN"/>
        </w:rPr>
        <w:t>减少10.2</w:t>
      </w:r>
      <w:r>
        <w:rPr>
          <w:rFonts w:hint="eastAsia" w:ascii="宋体" w:hAnsi="宋体" w:eastAsia="方正仿宋_GBK" w:cs="方正仿宋_GBK"/>
          <w:color w:val="auto"/>
          <w:sz w:val="32"/>
        </w:rPr>
        <w:t>%</w:t>
      </w:r>
      <w:r>
        <w:rPr>
          <w:rFonts w:hint="eastAsia" w:ascii="宋体" w:hAnsi="宋体" w:eastAsia="方正仿宋_GBK" w:cs="方正仿宋_GBK"/>
          <w:color w:val="auto"/>
          <w:sz w:val="32"/>
          <w:lang w:eastAsia="zh-CN"/>
        </w:rPr>
        <w:t>，</w:t>
      </w:r>
      <w:r>
        <w:rPr>
          <w:rFonts w:hint="eastAsia" w:ascii="宋体" w:hAnsi="宋体" w:eastAsia="方正仿宋_GBK" w:cs="方正仿宋_GBK"/>
          <w:color w:val="auto"/>
          <w:sz w:val="32"/>
        </w:rPr>
        <w:t>主要原因</w:t>
      </w:r>
      <w:r>
        <w:rPr>
          <w:rFonts w:hint="eastAsia" w:ascii="宋体" w:hAnsi="宋体" w:eastAsia="方正仿宋_GBK" w:cs="方正仿宋_GBK"/>
          <w:color w:val="auto"/>
          <w:sz w:val="32"/>
          <w:lang w:val="en-US" w:eastAsia="zh-CN"/>
        </w:rPr>
        <w:t>为本年度增加的项目为政府性基金。较年初预算数减少332.56万元，减少19.85%，主要原因是本年度增加的项目为政府性基金，故一般公共预算财政拨款收入减少。</w:t>
      </w:r>
    </w:p>
    <w:p w14:paraId="06297C60">
      <w:pPr>
        <w:keepNext w:val="0"/>
        <w:keepLines w:val="0"/>
        <w:pageBreakBefore w:val="0"/>
        <w:numPr>
          <w:ilvl w:val="0"/>
          <w:numId w:val="6"/>
        </w:numPr>
        <w:kinsoku/>
        <w:wordWrap/>
        <w:overflowPunct/>
        <w:topLinePunct w:val="0"/>
        <w:autoSpaceDN/>
        <w:bidi w:val="0"/>
        <w:snapToGrid/>
        <w:spacing w:line="579" w:lineRule="exact"/>
        <w:ind w:firstLine="643" w:firstLineChars="200"/>
        <w:textAlignment w:val="auto"/>
        <w:rPr>
          <w:rFonts w:hint="eastAsia" w:ascii="宋体" w:hAnsi="宋体" w:eastAsia="方正仿宋_GBK" w:cs="方正仿宋_GBK"/>
          <w:b/>
          <w:bCs/>
          <w:sz w:val="32"/>
          <w:lang w:val="en-US" w:eastAsia="zh-CN"/>
        </w:rPr>
      </w:pPr>
      <w:r>
        <w:rPr>
          <w:rFonts w:hint="eastAsia" w:ascii="宋体" w:hAnsi="宋体" w:eastAsia="方正仿宋_GBK" w:cs="方正仿宋_GBK"/>
          <w:b/>
          <w:bCs/>
          <w:color w:val="auto"/>
          <w:sz w:val="32"/>
          <w:lang w:val="en-US" w:eastAsia="zh-CN"/>
        </w:rPr>
        <w:t>结转结余情况。</w:t>
      </w:r>
      <w:r>
        <w:rPr>
          <w:rFonts w:hint="eastAsia" w:ascii="方正仿宋_GBK" w:hAnsi="方正仿宋_GBK" w:eastAsia="方正仿宋_GBK" w:cs="方正仿宋_GBK"/>
          <w:sz w:val="32"/>
          <w:szCs w:val="32"/>
          <w:shd w:val="clear" w:color="auto" w:fill="FFFFFF"/>
          <w:lang w:eastAsia="zh-CN"/>
        </w:rPr>
        <w:t>2024年</w:t>
      </w:r>
      <w:r>
        <w:rPr>
          <w:rFonts w:ascii="方正仿宋_GBK" w:hAnsi="方正仿宋_GBK" w:eastAsia="方正仿宋_GBK" w:cs="方正仿宋_GBK"/>
          <w:sz w:val="32"/>
          <w:szCs w:val="32"/>
          <w:shd w:val="clear" w:color="auto" w:fill="FFFFFF"/>
        </w:rPr>
        <w:t>度年末一般公共预算财政拨款</w:t>
      </w:r>
      <w:r>
        <w:rPr>
          <w:rFonts w:hint="eastAsia" w:ascii="方正仿宋_GBK" w:hAnsi="方正仿宋_GBK" w:eastAsia="方正仿宋_GBK" w:cs="方正仿宋_GBK"/>
          <w:sz w:val="32"/>
          <w:szCs w:val="32"/>
          <w:shd w:val="clear" w:color="auto" w:fill="FFFFFF"/>
          <w:lang w:val="en-US" w:eastAsia="zh-CN"/>
        </w:rPr>
        <w:t>无结转结余情况。</w:t>
      </w:r>
    </w:p>
    <w:p w14:paraId="6EE8274A">
      <w:pPr>
        <w:pStyle w:val="6"/>
        <w:keepNext w:val="0"/>
        <w:keepLines w:val="0"/>
        <w:pageBreakBefore w:val="0"/>
        <w:widowControl/>
        <w:numPr>
          <w:ilvl w:val="0"/>
          <w:numId w:val="6"/>
        </w:numPr>
        <w:suppressLineNumbers w:val="0"/>
        <w:kinsoku/>
        <w:wordWrap/>
        <w:overflowPunct/>
        <w:topLinePunct w:val="0"/>
        <w:autoSpaceDE/>
        <w:autoSpaceDN/>
        <w:bidi w:val="0"/>
        <w:adjustRightInd/>
        <w:snapToGrid/>
        <w:spacing w:before="0" w:beforeAutospacing="0" w:after="0" w:afterAutospacing="0" w:line="579" w:lineRule="exact"/>
        <w:ind w:left="0" w:leftChars="0" w:firstLine="643" w:firstLineChars="200"/>
        <w:jc w:val="both"/>
        <w:textAlignment w:val="auto"/>
        <w:rPr>
          <w:rFonts w:hint="eastAsia" w:ascii="宋体" w:hAnsi="宋体" w:eastAsia="方正仿宋_GBK" w:cs="方正仿宋_GBK"/>
          <w:color w:val="auto"/>
          <w:sz w:val="32"/>
          <w:lang w:val="en-US" w:eastAsia="zh-CN"/>
        </w:rPr>
      </w:pPr>
      <w:r>
        <w:rPr>
          <w:rFonts w:hint="eastAsia" w:ascii="宋体" w:hAnsi="宋体" w:eastAsia="方正仿宋_GBK" w:cs="方正仿宋_GBK"/>
          <w:b/>
          <w:bCs/>
          <w:kern w:val="2"/>
          <w:sz w:val="32"/>
          <w:szCs w:val="22"/>
          <w:lang w:val="en-US" w:eastAsia="zh-CN" w:bidi="ar-SA"/>
        </w:rPr>
        <w:t>比较情况。</w:t>
      </w:r>
      <w:r>
        <w:rPr>
          <w:rFonts w:hint="eastAsia" w:ascii="宋体" w:hAnsi="宋体" w:eastAsia="方正仿宋_GBK" w:cs="方正仿宋_GBK"/>
          <w:color w:val="auto"/>
          <w:sz w:val="32"/>
          <w:lang w:val="en-US" w:eastAsia="zh-CN"/>
        </w:rPr>
        <w:t>本部门2024年度一般公共预算财政拨款支出主要用于以下几个方面：</w:t>
      </w:r>
    </w:p>
    <w:p w14:paraId="57BE57E3">
      <w:pPr>
        <w:pStyle w:val="6"/>
        <w:keepNext w:val="0"/>
        <w:keepLines w:val="0"/>
        <w:pageBreakBefore w:val="0"/>
        <w:widowControl/>
        <w:numPr>
          <w:ilvl w:val="0"/>
          <w:numId w:val="7"/>
        </w:numPr>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rPr>
          <w:rFonts w:hint="eastAsia" w:ascii="宋体" w:hAnsi="宋体" w:eastAsia="方正仿宋_GBK" w:cs="方正仿宋_GBK"/>
          <w:color w:val="auto"/>
          <w:sz w:val="32"/>
          <w:lang w:val="en-US" w:eastAsia="zh-CN"/>
        </w:rPr>
      </w:pPr>
      <w:r>
        <w:rPr>
          <w:rFonts w:hint="eastAsia" w:ascii="宋体" w:hAnsi="宋体" w:eastAsia="方正仿宋_GBK" w:cs="方正仿宋_GBK"/>
          <w:color w:val="auto"/>
          <w:sz w:val="32"/>
          <w:lang w:val="en-US" w:eastAsia="zh-CN"/>
        </w:rPr>
        <w:t>本年度无一般公共服务支出。</w:t>
      </w:r>
    </w:p>
    <w:p w14:paraId="6999EA8A">
      <w:pPr>
        <w:pStyle w:val="6"/>
        <w:keepNext w:val="0"/>
        <w:keepLines w:val="0"/>
        <w:pageBreakBefore w:val="0"/>
        <w:widowControl/>
        <w:numPr>
          <w:ilvl w:val="0"/>
          <w:numId w:val="7"/>
        </w:numPr>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rPr>
          <w:rFonts w:hint="eastAsia" w:ascii="宋体" w:hAnsi="宋体" w:eastAsia="方正仿宋_GBK" w:cs="方正仿宋_GBK"/>
          <w:color w:val="auto"/>
          <w:sz w:val="32"/>
          <w:lang w:val="en-US" w:eastAsia="zh-CN"/>
        </w:rPr>
      </w:pPr>
      <w:r>
        <w:rPr>
          <w:rFonts w:hint="eastAsia" w:ascii="宋体" w:hAnsi="宋体" w:eastAsia="方正仿宋_GBK" w:cs="方正仿宋_GBK"/>
          <w:color w:val="auto"/>
          <w:sz w:val="32"/>
          <w:lang w:val="en-US" w:eastAsia="zh-CN"/>
        </w:rPr>
        <w:t>本年度无国防支出。</w:t>
      </w:r>
    </w:p>
    <w:p w14:paraId="12DCAB81">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rPr>
          <w:rFonts w:hint="eastAsia" w:ascii="宋体" w:hAnsi="宋体" w:eastAsia="方正仿宋_GBK" w:cs="方正仿宋_GBK"/>
          <w:color w:val="auto"/>
          <w:sz w:val="32"/>
          <w:lang w:val="en-US" w:eastAsia="zh-CN"/>
        </w:rPr>
      </w:pPr>
      <w:r>
        <w:rPr>
          <w:rFonts w:hint="eastAsia" w:ascii="宋体" w:hAnsi="宋体" w:eastAsia="方正仿宋_GBK" w:cs="方正仿宋_GBK"/>
          <w:color w:val="auto"/>
          <w:sz w:val="32"/>
          <w:lang w:val="en-US" w:eastAsia="zh-CN"/>
        </w:rPr>
        <w:t>（3）本年度无公共安全支出。</w:t>
      </w:r>
    </w:p>
    <w:p w14:paraId="5DD2A6A9">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rPr>
          <w:rFonts w:hint="eastAsia" w:ascii="宋体" w:hAnsi="宋体" w:eastAsia="方正仿宋_GBK" w:cs="方正仿宋_GBK"/>
          <w:color w:val="auto"/>
          <w:sz w:val="32"/>
          <w:lang w:val="en-US" w:eastAsia="zh-CN"/>
        </w:rPr>
      </w:pPr>
      <w:r>
        <w:rPr>
          <w:rFonts w:hint="eastAsia" w:ascii="宋体" w:hAnsi="宋体" w:eastAsia="方正仿宋_GBK" w:cs="方正仿宋_GBK"/>
          <w:color w:val="auto"/>
          <w:sz w:val="32"/>
          <w:lang w:val="en-US" w:eastAsia="zh-CN"/>
        </w:rPr>
        <w:t>（4）教育支出0.5万元，占比0.03%。较年初预算数减少2.61万元，减少83.92%，主要原因是我中心从节约原则出发，降低开支。</w:t>
      </w:r>
    </w:p>
    <w:p w14:paraId="2C68B7C9">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rPr>
          <w:rFonts w:hint="eastAsia" w:ascii="宋体" w:hAnsi="宋体" w:eastAsia="方正仿宋_GBK" w:cs="方正仿宋_GBK"/>
          <w:color w:val="auto"/>
          <w:sz w:val="32"/>
          <w:lang w:val="en-US" w:eastAsia="zh-CN"/>
        </w:rPr>
      </w:pPr>
      <w:r>
        <w:rPr>
          <w:rFonts w:hint="eastAsia" w:ascii="宋体" w:hAnsi="宋体" w:eastAsia="方正仿宋_GBK" w:cs="方正仿宋_GBK"/>
          <w:color w:val="auto"/>
          <w:sz w:val="32"/>
          <w:lang w:val="en-US" w:eastAsia="zh-CN"/>
        </w:rPr>
        <w:t>（5）社会保障和就业支出157.43万，占比11.73%，较年初预算数增加29.91万，增长19%，主要原因是人员调入，社保经费增加。</w:t>
      </w:r>
    </w:p>
    <w:p w14:paraId="58CBDD2B">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rPr>
          <w:rFonts w:hint="eastAsia" w:ascii="宋体" w:hAnsi="宋体" w:eastAsia="方正仿宋_GBK" w:cs="方正仿宋_GBK"/>
          <w:color w:val="auto"/>
          <w:sz w:val="32"/>
          <w:lang w:val="en-US" w:eastAsia="zh-CN"/>
        </w:rPr>
      </w:pPr>
      <w:r>
        <w:rPr>
          <w:rFonts w:hint="eastAsia" w:ascii="宋体" w:hAnsi="宋体" w:eastAsia="方正仿宋_GBK" w:cs="方正仿宋_GBK"/>
          <w:color w:val="auto"/>
          <w:sz w:val="32"/>
          <w:lang w:val="en-US" w:eastAsia="zh-CN"/>
        </w:rPr>
        <w:t>（6）卫生健康支出38.35万，占比2.86%。较年初预算数增加0.19万元，增长0.5%，主要原因是人员调入，社保经费增加。</w:t>
      </w:r>
    </w:p>
    <w:p w14:paraId="11524B54">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rPr>
          <w:rFonts w:hint="eastAsia" w:ascii="宋体" w:hAnsi="宋体" w:eastAsia="方正仿宋_GBK" w:cs="方正仿宋_GBK"/>
          <w:color w:val="auto"/>
          <w:sz w:val="32"/>
          <w:lang w:val="en-US" w:eastAsia="zh-CN"/>
        </w:rPr>
      </w:pPr>
      <w:r>
        <w:rPr>
          <w:rFonts w:hint="eastAsia" w:ascii="宋体" w:hAnsi="宋体" w:eastAsia="方正仿宋_GBK" w:cs="方正仿宋_GBK"/>
          <w:color w:val="auto"/>
          <w:sz w:val="32"/>
          <w:lang w:val="en-US" w:eastAsia="zh-CN"/>
        </w:rPr>
        <w:t>（7）交通运输支出1121.54万，占比83.53%。较年初预算数减少360.53万元，减少24.33%，主要原因是部分项目经费由财政收回。</w:t>
      </w:r>
    </w:p>
    <w:p w14:paraId="768D8D65">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rPr>
          <w:rFonts w:hint="default" w:ascii="宋体" w:hAnsi="宋体" w:eastAsia="方正仿宋_GBK" w:cs="方正仿宋_GBK"/>
          <w:color w:val="auto"/>
          <w:sz w:val="32"/>
          <w:lang w:val="en-US" w:eastAsia="zh-CN"/>
        </w:rPr>
      </w:pPr>
      <w:r>
        <w:rPr>
          <w:rFonts w:hint="eastAsia" w:ascii="宋体" w:hAnsi="宋体" w:eastAsia="方正仿宋_GBK" w:cs="方正仿宋_GBK"/>
          <w:color w:val="auto"/>
          <w:sz w:val="32"/>
          <w:lang w:val="en-US" w:eastAsia="zh-CN"/>
        </w:rPr>
        <w:t>（8）住房保障支出24.84万，占比1.85%。较年初预算数一致。</w:t>
      </w:r>
    </w:p>
    <w:p w14:paraId="1C6E1F5F">
      <w:pPr>
        <w:keepNext w:val="0"/>
        <w:keepLines w:val="0"/>
        <w:pageBreakBefore w:val="0"/>
        <w:widowControl w:val="0"/>
        <w:numPr>
          <w:ilvl w:val="0"/>
          <w:numId w:val="4"/>
        </w:numPr>
        <w:kinsoku/>
        <w:wordWrap/>
        <w:overflowPunct/>
        <w:topLinePunct w:val="0"/>
        <w:autoSpaceDE/>
        <w:autoSpaceDN/>
        <w:bidi w:val="0"/>
        <w:adjustRightInd/>
        <w:snapToGrid/>
        <w:spacing w:line="579" w:lineRule="exact"/>
        <w:ind w:firstLine="640" w:firstLineChars="200"/>
        <w:textAlignment w:val="auto"/>
        <w:outlineLvl w:val="1"/>
        <w:rPr>
          <w:rFonts w:hint="eastAsia" w:ascii="宋体" w:hAnsi="宋体" w:eastAsia="方正楷体_GBK" w:cs="方正楷体_GBK"/>
          <w:sz w:val="32"/>
          <w:szCs w:val="32"/>
          <w:lang w:val="en-US" w:eastAsia="zh-CN"/>
        </w:rPr>
      </w:pPr>
      <w:r>
        <w:rPr>
          <w:rStyle w:val="15"/>
          <w:rFonts w:hint="eastAsia" w:ascii="宋体" w:hAnsi="宋体" w:eastAsia="方正楷体_GBK" w:cs="方正楷体_GBK"/>
          <w:b w:val="0"/>
          <w:bCs/>
          <w:kern w:val="2"/>
          <w:sz w:val="32"/>
          <w:szCs w:val="32"/>
          <w:shd w:val="clear" w:color="auto" w:fill="FFFFFF"/>
          <w:lang w:val="en-US" w:eastAsia="zh-CN" w:bidi="ar-SA"/>
        </w:rPr>
        <w:t>一般公共预算财政拨款基本支出情况</w:t>
      </w:r>
    </w:p>
    <w:p w14:paraId="0E7FC8A9">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rPr>
          <w:rFonts w:hint="eastAsia" w:ascii="宋体" w:hAnsi="宋体" w:eastAsia="方正仿宋_GBK" w:cs="方正仿宋_GBK"/>
          <w:color w:val="auto"/>
          <w:sz w:val="32"/>
          <w:lang w:val="en-US" w:eastAsia="zh-CN"/>
        </w:rPr>
      </w:pPr>
      <w:r>
        <w:rPr>
          <w:rFonts w:hint="eastAsia" w:ascii="宋体" w:hAnsi="宋体" w:eastAsia="方正仿宋_GBK" w:cs="方正仿宋_GBK"/>
          <w:color w:val="auto"/>
          <w:sz w:val="32"/>
          <w:lang w:val="en-US" w:eastAsia="zh-CN"/>
        </w:rPr>
        <w:t>2024年度一般公共预算财政拨款基本支出682.65万元。其中：人员经费624.64万元，主要用于职工工资、社保、住房公积金等，较上年决算数减少46.14万元，减少7.9%，主要原因是人员调动及退休，本年度无退休人员，且上年度调入人员工资薪酬高于本年调入人员薪酬，故本年度较上年度减少。公用经费58.01万元，主要用于工会经费，公务车运行维护费等，较上年决算数减少45.29万元，减少43.84%，主要原因是本年度公务车已全部更换为能源汽车，公务车油料费，车辆大修费用减少，工会经费减少，办公费及福利费减少。</w:t>
      </w:r>
    </w:p>
    <w:p w14:paraId="074007C3">
      <w:pPr>
        <w:keepNext w:val="0"/>
        <w:keepLines w:val="0"/>
        <w:pageBreakBefore w:val="0"/>
        <w:widowControl/>
        <w:suppressLineNumbers w:val="0"/>
        <w:kinsoku/>
        <w:wordWrap/>
        <w:overflowPunct/>
        <w:topLinePunct w:val="0"/>
        <w:autoSpaceDE w:val="0"/>
        <w:autoSpaceDN/>
        <w:bidi w:val="0"/>
        <w:adjustRightInd/>
        <w:snapToGrid/>
        <w:spacing w:afterAutospacing="0" w:line="579" w:lineRule="exact"/>
        <w:ind w:left="0" w:firstLine="640" w:firstLineChars="200"/>
        <w:jc w:val="both"/>
        <w:textAlignment w:val="auto"/>
        <w:outlineLvl w:val="1"/>
        <w:rPr>
          <w:rStyle w:val="15"/>
          <w:rFonts w:hint="eastAsia" w:ascii="宋体" w:hAnsi="宋体" w:eastAsia="方正楷体_GBK" w:cs="方正楷体_GBK"/>
          <w:b w:val="0"/>
          <w:bCs/>
          <w:kern w:val="2"/>
          <w:sz w:val="32"/>
          <w:szCs w:val="32"/>
          <w:shd w:val="clear" w:color="auto" w:fill="FFFFFF"/>
          <w:lang w:val="en-US" w:eastAsia="zh-CN" w:bidi="ar-SA"/>
        </w:rPr>
      </w:pPr>
      <w:r>
        <w:rPr>
          <w:rStyle w:val="15"/>
          <w:rFonts w:hint="eastAsia" w:ascii="宋体" w:hAnsi="宋体" w:eastAsia="方正楷体_GBK" w:cs="方正楷体_GBK"/>
          <w:b w:val="0"/>
          <w:bCs/>
          <w:kern w:val="2"/>
          <w:sz w:val="32"/>
          <w:szCs w:val="32"/>
          <w:shd w:val="clear" w:color="auto" w:fill="FFFFFF"/>
          <w:lang w:val="en-US" w:eastAsia="zh-CN" w:bidi="ar-SA"/>
        </w:rPr>
        <w:t>（五）政府性基金预算收支决算情况</w:t>
      </w:r>
    </w:p>
    <w:p w14:paraId="618F58C0">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rPr>
          <w:rFonts w:ascii="方正仿宋_GBK" w:hAnsi="方正仿宋_GBK" w:eastAsia="方正仿宋_GBK" w:cs="方正仿宋_GBK"/>
          <w:color w:val="auto"/>
          <w:sz w:val="32"/>
          <w:szCs w:val="32"/>
          <w:shd w:val="clear" w:color="auto" w:fill="FFFFFF"/>
        </w:rPr>
      </w:pPr>
      <w:r>
        <w:rPr>
          <w:rFonts w:hint="eastAsia" w:ascii="方正仿宋_GBK" w:hAnsi="方正仿宋_GBK" w:eastAsia="方正仿宋_GBK" w:cs="方正仿宋_GBK"/>
          <w:sz w:val="32"/>
          <w:szCs w:val="32"/>
          <w:shd w:val="clear" w:color="auto" w:fill="FFFFFF"/>
          <w:lang w:eastAsia="zh-CN"/>
        </w:rPr>
        <w:t>2024年</w:t>
      </w:r>
      <w:r>
        <w:rPr>
          <w:rFonts w:ascii="方正仿宋_GBK" w:hAnsi="方正仿宋_GBK" w:eastAsia="方正仿宋_GBK" w:cs="方正仿宋_GBK"/>
          <w:sz w:val="32"/>
          <w:szCs w:val="32"/>
          <w:shd w:val="clear" w:color="auto" w:fill="FFFFFF"/>
        </w:rPr>
        <w:t>度政府性基金预算财政拨款</w:t>
      </w:r>
      <w:r>
        <w:rPr>
          <w:rFonts w:hint="eastAsia" w:ascii="方正仿宋_GBK" w:hAnsi="方正仿宋_GBK" w:eastAsia="方正仿宋_GBK" w:cs="方正仿宋_GBK"/>
          <w:sz w:val="32"/>
          <w:szCs w:val="32"/>
          <w:shd w:val="clear" w:color="auto" w:fill="FFFFFF"/>
          <w:lang w:val="en-US" w:eastAsia="zh-CN"/>
        </w:rPr>
        <w:t>无</w:t>
      </w:r>
      <w:r>
        <w:rPr>
          <w:rFonts w:ascii="方正仿宋_GBK" w:hAnsi="方正仿宋_GBK" w:eastAsia="方正仿宋_GBK" w:cs="方正仿宋_GBK"/>
          <w:sz w:val="32"/>
          <w:szCs w:val="32"/>
          <w:shd w:val="clear" w:color="auto" w:fill="FFFFFF"/>
        </w:rPr>
        <w:t>年初</w:t>
      </w:r>
      <w:r>
        <w:rPr>
          <w:rFonts w:hint="eastAsia" w:ascii="方正仿宋_GBK" w:hAnsi="方正仿宋_GBK" w:eastAsia="方正仿宋_GBK" w:cs="方正仿宋_GBK"/>
          <w:sz w:val="32"/>
          <w:szCs w:val="32"/>
          <w:shd w:val="clear" w:color="auto" w:fill="FFFFFF"/>
          <w:lang w:val="en-US" w:eastAsia="zh-CN"/>
        </w:rPr>
        <w:t>及年末</w:t>
      </w:r>
      <w:r>
        <w:rPr>
          <w:rFonts w:ascii="方正仿宋_GBK" w:hAnsi="方正仿宋_GBK" w:eastAsia="方正仿宋_GBK" w:cs="方正仿宋_GBK"/>
          <w:sz w:val="32"/>
          <w:szCs w:val="32"/>
          <w:shd w:val="clear" w:color="auto" w:fill="FFFFFF"/>
        </w:rPr>
        <w:t>结转结余。本年收入</w:t>
      </w:r>
      <w:r>
        <w:rPr>
          <w:rFonts w:hint="eastAsia" w:ascii="方正仿宋_GBK" w:hAnsi="方正仿宋_GBK" w:eastAsia="方正仿宋_GBK" w:cs="方正仿宋_GBK"/>
          <w:sz w:val="32"/>
          <w:szCs w:val="32"/>
          <w:lang w:val="en-US" w:eastAsia="zh-CN"/>
        </w:rPr>
        <w:t>294.56</w:t>
      </w:r>
      <w:r>
        <w:rPr>
          <w:rFonts w:ascii="方正仿宋_GBK" w:hAnsi="方正仿宋_GBK" w:eastAsia="方正仿宋_GBK" w:cs="方正仿宋_GBK"/>
          <w:sz w:val="32"/>
          <w:szCs w:val="32"/>
          <w:shd w:val="clear" w:color="auto" w:fill="FFFFFF"/>
        </w:rPr>
        <w:t>万元，与2023年度相比</w:t>
      </w:r>
      <w:r>
        <w:rPr>
          <w:rFonts w:hint="eastAsia" w:ascii="方正仿宋_GBK" w:hAnsi="方正仿宋_GBK" w:eastAsia="方正仿宋_GBK" w:cs="方正仿宋_GBK"/>
          <w:sz w:val="32"/>
          <w:szCs w:val="32"/>
          <w:shd w:val="clear" w:color="auto" w:fill="FFFFFF"/>
          <w:lang w:val="en-US" w:eastAsia="zh-CN"/>
        </w:rPr>
        <w:t>增加294.56万</w:t>
      </w:r>
      <w:r>
        <w:rPr>
          <w:rFonts w:ascii="方正仿宋_GBK" w:hAnsi="方正仿宋_GBK" w:eastAsia="方正仿宋_GBK" w:cs="方正仿宋_GBK"/>
          <w:sz w:val="32"/>
          <w:szCs w:val="32"/>
          <w:shd w:val="clear" w:color="auto" w:fill="FFFFFF"/>
        </w:rPr>
        <w:t>，主要原因是</w:t>
      </w:r>
      <w:r>
        <w:rPr>
          <w:rFonts w:hint="eastAsia" w:ascii="方正仿宋_GBK" w:hAnsi="方正仿宋_GBK" w:eastAsia="方正仿宋_GBK" w:cs="方正仿宋_GBK"/>
          <w:sz w:val="32"/>
          <w:szCs w:val="32"/>
          <w:shd w:val="clear" w:color="auto" w:fill="FFFFFF"/>
          <w:lang w:val="en-US" w:eastAsia="zh-CN"/>
        </w:rPr>
        <w:t>2023年度无政府性基金预算收入</w:t>
      </w:r>
      <w:r>
        <w:rPr>
          <w:rFonts w:hint="eastAsia" w:ascii="方正仿宋_GBK" w:hAnsi="方正仿宋_GBK" w:eastAsia="方正仿宋_GBK" w:cs="方正仿宋_GBK"/>
          <w:color w:val="auto"/>
          <w:sz w:val="32"/>
          <w:szCs w:val="32"/>
          <w:shd w:val="clear" w:color="auto" w:fill="FFFFFF"/>
          <w:lang w:eastAsia="zh-CN"/>
        </w:rPr>
        <w:t>。</w:t>
      </w:r>
      <w:r>
        <w:rPr>
          <w:rFonts w:ascii="方正仿宋_GBK" w:hAnsi="方正仿宋_GBK" w:eastAsia="方正仿宋_GBK" w:cs="方正仿宋_GBK"/>
          <w:sz w:val="32"/>
          <w:szCs w:val="32"/>
          <w:shd w:val="clear" w:color="auto" w:fill="FFFFFF"/>
        </w:rPr>
        <w:t>本年支出</w:t>
      </w:r>
      <w:r>
        <w:rPr>
          <w:rFonts w:hint="eastAsia" w:ascii="方正仿宋_GBK" w:hAnsi="方正仿宋_GBK" w:eastAsia="方正仿宋_GBK" w:cs="方正仿宋_GBK"/>
          <w:sz w:val="32"/>
          <w:szCs w:val="32"/>
          <w:lang w:val="en-US" w:eastAsia="zh-CN"/>
        </w:rPr>
        <w:t>294.56</w:t>
      </w:r>
      <w:r>
        <w:rPr>
          <w:rFonts w:ascii="方正仿宋_GBK" w:hAnsi="方正仿宋_GBK" w:eastAsia="方正仿宋_GBK" w:cs="方正仿宋_GBK"/>
          <w:sz w:val="32"/>
          <w:szCs w:val="32"/>
          <w:shd w:val="clear" w:color="auto" w:fill="FFFFFF"/>
        </w:rPr>
        <w:t>万元，与2023年度相比</w:t>
      </w:r>
      <w:r>
        <w:rPr>
          <w:rFonts w:hint="eastAsia" w:ascii="方正仿宋_GBK" w:hAnsi="方正仿宋_GBK" w:eastAsia="方正仿宋_GBK" w:cs="方正仿宋_GBK"/>
          <w:sz w:val="32"/>
          <w:szCs w:val="32"/>
          <w:shd w:val="clear" w:color="auto" w:fill="FFFFFF"/>
          <w:lang w:val="en-US" w:eastAsia="zh-CN"/>
        </w:rPr>
        <w:t>增加294.56万</w:t>
      </w:r>
      <w:r>
        <w:rPr>
          <w:rFonts w:ascii="方正仿宋_GBK" w:hAnsi="方正仿宋_GBK" w:eastAsia="方正仿宋_GBK" w:cs="方正仿宋_GBK"/>
          <w:sz w:val="32"/>
          <w:szCs w:val="32"/>
          <w:shd w:val="clear" w:color="auto" w:fill="FFFFFF"/>
        </w:rPr>
        <w:t>，主要原因是</w:t>
      </w:r>
      <w:r>
        <w:rPr>
          <w:rFonts w:hint="eastAsia" w:ascii="方正仿宋_GBK" w:hAnsi="方正仿宋_GBK" w:eastAsia="方正仿宋_GBK" w:cs="方正仿宋_GBK"/>
          <w:sz w:val="32"/>
          <w:szCs w:val="32"/>
          <w:shd w:val="clear" w:color="auto" w:fill="FFFFFF"/>
          <w:lang w:val="en-US" w:eastAsia="zh-CN"/>
        </w:rPr>
        <w:t>本年度新增政府性基金项目，项目名称为“2024年超长期特别国债支持老旧营运船舶报废更新（渝财建【2024】211号）”，该项目资金支出为294.56万</w:t>
      </w:r>
      <w:r>
        <w:rPr>
          <w:rFonts w:ascii="方正仿宋_GBK" w:hAnsi="方正仿宋_GBK" w:eastAsia="方正仿宋_GBK" w:cs="方正仿宋_GBK"/>
          <w:color w:val="auto"/>
          <w:sz w:val="32"/>
          <w:szCs w:val="32"/>
          <w:shd w:val="clear" w:color="auto" w:fill="FFFFFF"/>
        </w:rPr>
        <w:t>。</w:t>
      </w:r>
    </w:p>
    <w:p w14:paraId="22F82DFC">
      <w:pPr>
        <w:keepNext w:val="0"/>
        <w:keepLines w:val="0"/>
        <w:pageBreakBefore w:val="0"/>
        <w:widowControl/>
        <w:suppressLineNumbers w:val="0"/>
        <w:kinsoku/>
        <w:wordWrap/>
        <w:overflowPunct/>
        <w:topLinePunct w:val="0"/>
        <w:autoSpaceDE w:val="0"/>
        <w:autoSpaceDN/>
        <w:bidi w:val="0"/>
        <w:adjustRightInd/>
        <w:snapToGrid/>
        <w:spacing w:afterAutospacing="0" w:line="579" w:lineRule="exact"/>
        <w:ind w:left="0" w:firstLine="640" w:firstLineChars="200"/>
        <w:jc w:val="both"/>
        <w:textAlignment w:val="auto"/>
        <w:outlineLvl w:val="1"/>
        <w:rPr>
          <w:rStyle w:val="15"/>
          <w:rFonts w:hint="eastAsia" w:ascii="宋体" w:hAnsi="宋体" w:eastAsia="方正楷体_GBK" w:cs="方正楷体_GBK"/>
          <w:b w:val="0"/>
          <w:bCs/>
          <w:kern w:val="2"/>
          <w:sz w:val="32"/>
          <w:szCs w:val="32"/>
          <w:shd w:val="clear" w:color="auto" w:fill="FFFFFF"/>
          <w:lang w:val="en-US" w:eastAsia="zh-CN" w:bidi="ar-SA"/>
        </w:rPr>
      </w:pPr>
      <w:r>
        <w:rPr>
          <w:rStyle w:val="15"/>
          <w:rFonts w:hint="eastAsia" w:ascii="宋体" w:hAnsi="宋体" w:eastAsia="方正楷体_GBK" w:cs="方正楷体_GBK"/>
          <w:b w:val="0"/>
          <w:bCs/>
          <w:kern w:val="2"/>
          <w:sz w:val="32"/>
          <w:szCs w:val="32"/>
          <w:shd w:val="clear" w:color="auto" w:fill="FFFFFF"/>
          <w:lang w:val="en-US" w:eastAsia="zh-CN" w:bidi="ar-SA"/>
        </w:rPr>
        <w:t>（六）国有资本经营预算财政拨款支出决算情况</w:t>
      </w:r>
    </w:p>
    <w:p w14:paraId="1562D94E">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rPr>
          <w:rFonts w:hint="eastAsia" w:ascii="宋体" w:hAnsi="宋体" w:eastAsia="方正仿宋_GBK" w:cs="方正仿宋_GBK"/>
          <w:color w:val="auto"/>
          <w:sz w:val="32"/>
          <w:lang w:val="en-US" w:eastAsia="zh-CN"/>
        </w:rPr>
      </w:pPr>
      <w:r>
        <w:rPr>
          <w:rFonts w:ascii="方正仿宋_GBK" w:hAnsi="方正仿宋_GBK" w:eastAsia="方正仿宋_GBK" w:cs="方正仿宋_GBK"/>
          <w:color w:val="auto"/>
          <w:sz w:val="32"/>
          <w:szCs w:val="32"/>
          <w:shd w:val="clear" w:color="auto" w:fill="FFFFFF"/>
        </w:rPr>
        <w:t>本单位</w:t>
      </w:r>
      <w:r>
        <w:rPr>
          <w:rFonts w:hint="eastAsia" w:ascii="方正仿宋_GBK" w:hAnsi="方正仿宋_GBK" w:eastAsia="方正仿宋_GBK" w:cs="方正仿宋_GBK"/>
          <w:color w:val="auto"/>
          <w:sz w:val="32"/>
          <w:szCs w:val="32"/>
          <w:shd w:val="clear" w:color="auto" w:fill="FFFFFF"/>
          <w:lang w:eastAsia="zh-CN"/>
        </w:rPr>
        <w:t>2024年</w:t>
      </w:r>
      <w:r>
        <w:rPr>
          <w:rFonts w:ascii="方正仿宋_GBK" w:hAnsi="方正仿宋_GBK" w:eastAsia="方正仿宋_GBK" w:cs="方正仿宋_GBK"/>
          <w:color w:val="auto"/>
          <w:sz w:val="32"/>
          <w:szCs w:val="32"/>
          <w:shd w:val="clear" w:color="auto" w:fill="FFFFFF"/>
        </w:rPr>
        <w:t>度无国有资本经营预算财政拨款支出。</w:t>
      </w:r>
    </w:p>
    <w:p w14:paraId="5078D7DE">
      <w:pPr>
        <w:pStyle w:val="11"/>
        <w:keepNext w:val="0"/>
        <w:keepLines w:val="0"/>
        <w:pageBreakBefore w:val="0"/>
        <w:widowControl/>
        <w:numPr>
          <w:ilvl w:val="0"/>
          <w:numId w:val="0"/>
        </w:numPr>
        <w:suppressLineNumbers w:val="0"/>
        <w:kinsoku/>
        <w:wordWrap/>
        <w:overflowPunct/>
        <w:topLinePunct w:val="0"/>
        <w:autoSpaceDE w:val="0"/>
        <w:autoSpaceDN/>
        <w:bidi w:val="0"/>
        <w:adjustRightInd/>
        <w:snapToGrid/>
        <w:spacing w:before="0" w:beforeAutospacing="0" w:after="0" w:afterAutospacing="0" w:line="579" w:lineRule="exact"/>
        <w:ind w:right="0" w:rightChars="0" w:firstLine="640" w:firstLineChars="200"/>
        <w:jc w:val="left"/>
        <w:textAlignment w:val="auto"/>
        <w:outlineLvl w:val="0"/>
        <w:rPr>
          <w:rStyle w:val="15"/>
          <w:rFonts w:hint="eastAsia" w:ascii="宋体" w:hAnsi="宋体" w:eastAsia="方正黑体_GBK" w:cs="方正黑体_GBK"/>
          <w:b w:val="0"/>
          <w:sz w:val="32"/>
          <w:szCs w:val="32"/>
          <w:shd w:val="clear" w:color="auto" w:fill="FFFFFF"/>
        </w:rPr>
      </w:pPr>
      <w:r>
        <w:rPr>
          <w:rStyle w:val="15"/>
          <w:rFonts w:hint="eastAsia" w:ascii="宋体" w:hAnsi="宋体" w:eastAsia="方正黑体_GBK" w:cs="方正黑体_GBK"/>
          <w:b w:val="0"/>
          <w:sz w:val="32"/>
          <w:szCs w:val="32"/>
          <w:shd w:val="clear" w:color="auto" w:fill="FFFFFF"/>
          <w:lang w:val="en-US" w:eastAsia="zh-CN"/>
        </w:rPr>
        <w:t>三、</w:t>
      </w:r>
      <w:r>
        <w:rPr>
          <w:rStyle w:val="15"/>
          <w:rFonts w:hint="eastAsia" w:ascii="宋体" w:hAnsi="宋体" w:eastAsia="方正黑体_GBK" w:cs="方正黑体_GBK"/>
          <w:b w:val="0"/>
          <w:sz w:val="32"/>
          <w:szCs w:val="32"/>
          <w:shd w:val="clear" w:color="auto" w:fill="FFFFFF"/>
        </w:rPr>
        <w:t>“三公”经费情况</w:t>
      </w:r>
    </w:p>
    <w:p w14:paraId="7A7B2BC1">
      <w:pPr>
        <w:keepNext w:val="0"/>
        <w:keepLines w:val="0"/>
        <w:pageBreakBefore w:val="0"/>
        <w:widowControl/>
        <w:suppressLineNumbers w:val="0"/>
        <w:kinsoku/>
        <w:wordWrap/>
        <w:overflowPunct/>
        <w:topLinePunct w:val="0"/>
        <w:autoSpaceDE w:val="0"/>
        <w:autoSpaceDN/>
        <w:bidi w:val="0"/>
        <w:adjustRightInd/>
        <w:snapToGrid/>
        <w:spacing w:afterAutospacing="0" w:line="579" w:lineRule="exact"/>
        <w:ind w:left="0" w:firstLine="640" w:firstLineChars="200"/>
        <w:jc w:val="both"/>
        <w:textAlignment w:val="auto"/>
        <w:outlineLvl w:val="1"/>
        <w:rPr>
          <w:rStyle w:val="15"/>
          <w:rFonts w:hint="eastAsia" w:ascii="宋体" w:hAnsi="宋体" w:eastAsia="方正楷体_GBK" w:cs="方正楷体_GBK"/>
          <w:b w:val="0"/>
          <w:bCs/>
          <w:kern w:val="2"/>
          <w:sz w:val="32"/>
          <w:szCs w:val="32"/>
          <w:shd w:val="clear" w:color="auto" w:fill="FFFFFF"/>
          <w:lang w:val="en-US" w:eastAsia="zh-CN" w:bidi="ar-SA"/>
        </w:rPr>
      </w:pPr>
      <w:r>
        <w:rPr>
          <w:rStyle w:val="15"/>
          <w:rFonts w:hint="eastAsia" w:ascii="宋体" w:hAnsi="宋体" w:eastAsia="方正楷体_GBK" w:cs="方正楷体_GBK"/>
          <w:b w:val="0"/>
          <w:bCs/>
          <w:kern w:val="2"/>
          <w:sz w:val="32"/>
          <w:szCs w:val="32"/>
          <w:shd w:val="clear" w:color="auto" w:fill="FFFFFF"/>
          <w:lang w:val="en-US" w:eastAsia="zh-CN" w:bidi="ar-SA"/>
        </w:rPr>
        <w:t>（一）“三公”经费支出总体情况</w:t>
      </w:r>
    </w:p>
    <w:p w14:paraId="20725D28">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rPr>
          <w:rFonts w:hint="eastAsia" w:ascii="宋体" w:hAnsi="宋体" w:eastAsia="方正仿宋_GBK" w:cs="方正仿宋_GBK"/>
          <w:color w:val="auto"/>
          <w:sz w:val="32"/>
          <w:lang w:val="en-US" w:eastAsia="zh-CN"/>
        </w:rPr>
      </w:pPr>
      <w:r>
        <w:rPr>
          <w:rFonts w:hint="eastAsia" w:ascii="宋体" w:hAnsi="宋体" w:eastAsia="方正仿宋_GBK" w:cs="方正仿宋_GBK"/>
          <w:color w:val="auto"/>
          <w:sz w:val="32"/>
          <w:lang w:val="en-US" w:eastAsia="zh-CN"/>
        </w:rPr>
        <w:t>2024年度“三公”经费支出共计4.28万元，较年初预算数减少4.72万元，下降52.44%，主要原因是公务车已全部更换为能源汽车，公务车油料费，车辆大修费用减少。较上年支出数减少10.7万元，减少71.42%，主要原因是公务车已全部更换为能源汽车，公务车油料费，车辆大修费用减少。</w:t>
      </w:r>
    </w:p>
    <w:p w14:paraId="6BD5C532">
      <w:pPr>
        <w:keepNext w:val="0"/>
        <w:keepLines w:val="0"/>
        <w:pageBreakBefore w:val="0"/>
        <w:widowControl/>
        <w:suppressLineNumbers w:val="0"/>
        <w:kinsoku/>
        <w:wordWrap/>
        <w:overflowPunct/>
        <w:topLinePunct w:val="0"/>
        <w:autoSpaceDE w:val="0"/>
        <w:autoSpaceDN/>
        <w:bidi w:val="0"/>
        <w:adjustRightInd/>
        <w:snapToGrid/>
        <w:spacing w:afterAutospacing="0" w:line="579" w:lineRule="exact"/>
        <w:ind w:left="0" w:firstLine="640" w:firstLineChars="200"/>
        <w:jc w:val="both"/>
        <w:textAlignment w:val="auto"/>
        <w:outlineLvl w:val="1"/>
        <w:rPr>
          <w:rStyle w:val="15"/>
          <w:rFonts w:hint="eastAsia" w:ascii="宋体" w:hAnsi="宋体" w:eastAsia="方正楷体_GBK" w:cs="方正楷体_GBK"/>
          <w:b w:val="0"/>
          <w:bCs/>
          <w:kern w:val="2"/>
          <w:sz w:val="32"/>
          <w:szCs w:val="32"/>
          <w:shd w:val="clear" w:color="auto" w:fill="FFFFFF"/>
          <w:lang w:val="en-US" w:eastAsia="zh-CN" w:bidi="ar-SA"/>
        </w:rPr>
      </w:pPr>
      <w:r>
        <w:rPr>
          <w:rStyle w:val="15"/>
          <w:rFonts w:hint="eastAsia" w:ascii="宋体" w:hAnsi="宋体" w:eastAsia="方正楷体_GBK" w:cs="方正楷体_GBK"/>
          <w:b w:val="0"/>
          <w:bCs/>
          <w:kern w:val="2"/>
          <w:sz w:val="32"/>
          <w:szCs w:val="32"/>
          <w:shd w:val="clear" w:color="auto" w:fill="FFFFFF"/>
          <w:lang w:val="en-US" w:eastAsia="zh-CN" w:bidi="ar-SA"/>
        </w:rPr>
        <w:t>（二）“三公”经费分项支出情况</w:t>
      </w:r>
    </w:p>
    <w:p w14:paraId="730B2BC4">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rPr>
          <w:rFonts w:hint="eastAsia" w:ascii="宋体" w:hAnsi="宋体" w:eastAsia="方正仿宋_GBK" w:cs="方正仿宋_GBK"/>
          <w:color w:val="auto"/>
          <w:sz w:val="32"/>
          <w:lang w:val="en-US" w:eastAsia="zh-CN"/>
        </w:rPr>
      </w:pPr>
      <w:r>
        <w:rPr>
          <w:rFonts w:hint="eastAsia" w:ascii="宋体" w:hAnsi="宋体" w:eastAsia="方正仿宋_GBK" w:cs="方正仿宋_GBK"/>
          <w:color w:val="auto"/>
          <w:sz w:val="32"/>
          <w:lang w:val="en-US" w:eastAsia="zh-CN"/>
        </w:rPr>
        <w:t>本年度无因公出国（境）费用。</w:t>
      </w:r>
    </w:p>
    <w:p w14:paraId="63C687F7">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579" w:lineRule="exact"/>
        <w:ind w:left="0" w:firstLine="640" w:firstLineChars="200"/>
        <w:jc w:val="both"/>
        <w:textAlignment w:val="auto"/>
        <w:rPr>
          <w:rFonts w:hint="eastAsia" w:ascii="宋体" w:hAnsi="宋体" w:eastAsia="方正仿宋_GBK" w:cs="方正仿宋_GBK"/>
          <w:color w:val="auto"/>
          <w:sz w:val="32"/>
          <w:lang w:val="en-US" w:eastAsia="zh-CN"/>
        </w:rPr>
      </w:pPr>
      <w:r>
        <w:rPr>
          <w:rFonts w:hint="eastAsia" w:ascii="宋体" w:hAnsi="宋体" w:eastAsia="方正仿宋_GBK" w:cs="方正仿宋_GBK"/>
          <w:color w:val="auto"/>
          <w:sz w:val="32"/>
          <w:lang w:val="en-US" w:eastAsia="zh-CN"/>
        </w:rPr>
        <w:t>本年度无公务车购置费用。</w:t>
      </w:r>
    </w:p>
    <w:p w14:paraId="145C55F7">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579" w:lineRule="exact"/>
        <w:ind w:left="0" w:firstLine="640" w:firstLineChars="200"/>
        <w:jc w:val="both"/>
        <w:textAlignment w:val="auto"/>
        <w:rPr>
          <w:rFonts w:hint="eastAsia" w:ascii="宋体" w:hAnsi="宋体" w:eastAsia="方正仿宋_GBK" w:cs="方正仿宋_GBK"/>
          <w:color w:val="auto"/>
          <w:sz w:val="32"/>
          <w:lang w:val="en-US" w:eastAsia="zh-CN"/>
        </w:rPr>
      </w:pPr>
      <w:r>
        <w:rPr>
          <w:rFonts w:hint="eastAsia" w:ascii="宋体" w:hAnsi="宋体" w:eastAsia="方正仿宋_GBK" w:cs="方正仿宋_GBK"/>
          <w:color w:val="auto"/>
          <w:sz w:val="32"/>
          <w:lang w:val="en-US" w:eastAsia="zh-CN"/>
        </w:rPr>
        <w:t>公务车运行维护费4.28万元，主要用于公务车过路过桥、停车费、维修费等。费用支出较年初预算数减少4.72万元，较上年支出数减少10.7万元，减少71.43%，主要原因是公务车已全部更换为能源汽车，公务车油料费，车辆大修费用减少。</w:t>
      </w:r>
    </w:p>
    <w:p w14:paraId="683B8D8F">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579" w:lineRule="exact"/>
        <w:ind w:left="0" w:firstLine="640" w:firstLineChars="200"/>
        <w:jc w:val="both"/>
        <w:textAlignment w:val="auto"/>
        <w:rPr>
          <w:rFonts w:hint="default" w:ascii="宋体" w:hAnsi="宋体" w:eastAsia="方正仿宋_GBK" w:cs="方正仿宋_GBK"/>
          <w:color w:val="auto"/>
          <w:sz w:val="32"/>
          <w:lang w:val="en-US" w:eastAsia="zh-CN"/>
        </w:rPr>
      </w:pPr>
      <w:r>
        <w:rPr>
          <w:rFonts w:hint="eastAsia" w:ascii="宋体" w:hAnsi="宋体" w:eastAsia="方正仿宋_GBK" w:cs="方正仿宋_GBK"/>
          <w:color w:val="auto"/>
          <w:sz w:val="32"/>
          <w:lang w:val="en-US" w:eastAsia="zh-CN"/>
        </w:rPr>
        <w:t>公务接待费0.41万元。主要用于其他区县单位到我中心检查及调研等工作发生的支出。费用支出较年初预算数减少0.09万元，较上年支出数减少0.11万元，减少21.15%，主要原因是本着一切从节约出发的原则，从而降低支出。</w:t>
      </w:r>
    </w:p>
    <w:p w14:paraId="3598CCB3">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579" w:lineRule="exact"/>
        <w:ind w:left="0" w:firstLine="640" w:firstLineChars="200"/>
        <w:jc w:val="both"/>
        <w:textAlignment w:val="auto"/>
        <w:rPr>
          <w:rFonts w:hint="eastAsia" w:ascii="宋体" w:hAnsi="宋体" w:eastAsia="方正楷体_GBK" w:cs="方正楷体_GBK"/>
        </w:rPr>
      </w:pPr>
      <w:r>
        <w:rPr>
          <w:rStyle w:val="15"/>
          <w:rFonts w:hint="eastAsia" w:ascii="宋体" w:hAnsi="宋体" w:eastAsia="方正楷体_GBK" w:cs="方正楷体_GBK"/>
          <w:b w:val="0"/>
          <w:bCs/>
          <w:kern w:val="2"/>
          <w:sz w:val="32"/>
          <w:szCs w:val="32"/>
          <w:shd w:val="clear" w:color="auto" w:fill="FFFFFF"/>
          <w:lang w:val="en-US" w:eastAsia="zh-CN" w:bidi="ar-SA"/>
        </w:rPr>
        <w:t>（三）“三公”经费实物量情况</w:t>
      </w:r>
    </w:p>
    <w:p w14:paraId="1E06A17B">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rPr>
          <w:rFonts w:hint="eastAsia" w:ascii="宋体" w:hAnsi="宋体" w:eastAsia="方正仿宋_GBK" w:cs="方正仿宋_GBK"/>
          <w:color w:val="auto"/>
          <w:sz w:val="32"/>
          <w:lang w:val="en-US" w:eastAsia="zh-CN"/>
        </w:rPr>
      </w:pPr>
      <w:r>
        <w:rPr>
          <w:rFonts w:hint="eastAsia" w:ascii="宋体" w:hAnsi="宋体" w:eastAsia="方正仿宋_GBK" w:cs="方正仿宋_GBK"/>
          <w:color w:val="auto"/>
          <w:sz w:val="32"/>
          <w:lang w:val="en-US" w:eastAsia="zh-CN"/>
        </w:rPr>
        <w:t>2024年度本部门因公出国（境）共计0个团组，0人；公务用车购置0辆，公务车保有量为3辆；国内公务接待4批次41人，其中：国内外事接待4批次，41人；国（境）外公务接待0批次，0人。人均接待费100元，车均购置费0万元，车均维护费0万元。</w:t>
      </w:r>
      <w:bookmarkStart w:id="0" w:name="_GoBack"/>
      <w:bookmarkEnd w:id="0"/>
    </w:p>
    <w:p w14:paraId="3650E3C0">
      <w:pPr>
        <w:pStyle w:val="11"/>
        <w:keepNext w:val="0"/>
        <w:keepLines w:val="0"/>
        <w:pageBreakBefore w:val="0"/>
        <w:widowControl/>
        <w:numPr>
          <w:ilvl w:val="0"/>
          <w:numId w:val="0"/>
        </w:numPr>
        <w:suppressLineNumbers w:val="0"/>
        <w:kinsoku/>
        <w:wordWrap/>
        <w:overflowPunct/>
        <w:topLinePunct w:val="0"/>
        <w:autoSpaceDE w:val="0"/>
        <w:autoSpaceDN/>
        <w:bidi w:val="0"/>
        <w:adjustRightInd/>
        <w:snapToGrid/>
        <w:spacing w:before="0" w:beforeAutospacing="0" w:after="0" w:afterAutospacing="0" w:line="579" w:lineRule="exact"/>
        <w:ind w:right="0" w:rightChars="0" w:firstLine="640" w:firstLineChars="200"/>
        <w:jc w:val="left"/>
        <w:textAlignment w:val="auto"/>
        <w:outlineLvl w:val="0"/>
        <w:rPr>
          <w:rStyle w:val="15"/>
          <w:rFonts w:hint="eastAsia" w:ascii="宋体" w:hAnsi="宋体" w:eastAsia="方正黑体_GBK" w:cs="方正黑体_GBK"/>
          <w:b w:val="0"/>
          <w:sz w:val="32"/>
          <w:szCs w:val="32"/>
          <w:shd w:val="clear" w:color="auto" w:fill="FFFFFF"/>
        </w:rPr>
      </w:pPr>
      <w:r>
        <w:rPr>
          <w:rStyle w:val="15"/>
          <w:rFonts w:hint="eastAsia" w:ascii="宋体" w:hAnsi="宋体" w:eastAsia="方正黑体_GBK" w:cs="方正黑体_GBK"/>
          <w:b w:val="0"/>
          <w:sz w:val="32"/>
          <w:szCs w:val="32"/>
          <w:shd w:val="clear" w:color="auto" w:fill="FFFFFF"/>
          <w:lang w:val="en-US" w:eastAsia="zh-CN"/>
        </w:rPr>
        <w:t>四、</w:t>
      </w:r>
      <w:r>
        <w:rPr>
          <w:rStyle w:val="15"/>
          <w:rFonts w:hint="eastAsia" w:ascii="宋体" w:hAnsi="宋体" w:eastAsia="方正黑体_GBK" w:cs="方正黑体_GBK"/>
          <w:b w:val="0"/>
          <w:sz w:val="32"/>
          <w:szCs w:val="32"/>
          <w:shd w:val="clear" w:color="auto" w:fill="FFFFFF"/>
        </w:rPr>
        <w:t>其他需要说明的事项</w:t>
      </w:r>
    </w:p>
    <w:p w14:paraId="7C9F8407">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outlineLvl w:val="1"/>
        <w:rPr>
          <w:rStyle w:val="15"/>
          <w:rFonts w:hint="default" w:ascii="宋体" w:hAnsi="宋体" w:eastAsia="方正楷体_GBK" w:cs="方正楷体_GBK"/>
          <w:b w:val="0"/>
          <w:bCs/>
          <w:kern w:val="2"/>
          <w:sz w:val="32"/>
          <w:szCs w:val="32"/>
          <w:shd w:val="clear" w:color="auto" w:fill="FFFFFF"/>
          <w:lang w:val="en-US" w:eastAsia="zh-CN" w:bidi="ar-SA"/>
        </w:rPr>
      </w:pPr>
      <w:r>
        <w:rPr>
          <w:rStyle w:val="15"/>
          <w:rFonts w:hint="eastAsia" w:ascii="宋体" w:hAnsi="宋体" w:eastAsia="方正楷体_GBK" w:cs="方正楷体_GBK"/>
          <w:b w:val="0"/>
          <w:bCs/>
          <w:kern w:val="2"/>
          <w:sz w:val="32"/>
          <w:szCs w:val="32"/>
          <w:shd w:val="clear" w:color="auto" w:fill="FFFFFF"/>
          <w:lang w:val="en-US" w:eastAsia="zh-CN" w:bidi="ar-SA"/>
        </w:rPr>
        <w:t>（一）财政拨款会议费和培训费情况</w:t>
      </w:r>
    </w:p>
    <w:p w14:paraId="49D210E7">
      <w:pPr>
        <w:keepNext w:val="0"/>
        <w:keepLines w:val="0"/>
        <w:pageBreakBefore w:val="0"/>
        <w:kinsoku/>
        <w:wordWrap/>
        <w:overflowPunct/>
        <w:topLinePunct w:val="0"/>
        <w:autoSpaceDN/>
        <w:bidi w:val="0"/>
        <w:snapToGrid/>
        <w:spacing w:line="579" w:lineRule="exact"/>
        <w:ind w:firstLine="480" w:firstLineChars="150"/>
        <w:textAlignment w:val="auto"/>
        <w:rPr>
          <w:rFonts w:hint="eastAsia" w:ascii="方正仿宋_GBK" w:hAnsi="方正仿宋_GBK" w:eastAsia="方正仿宋_GBK" w:cs="方正仿宋_GBK"/>
          <w:color w:val="FF0000"/>
          <w:sz w:val="32"/>
          <w:szCs w:val="32"/>
          <w:lang w:val="en-US" w:eastAsia="zh-CN"/>
        </w:rPr>
      </w:pPr>
      <w:r>
        <w:rPr>
          <w:rFonts w:hint="eastAsia" w:ascii="方正仿宋_GBK" w:hAnsi="方正仿宋_GBK" w:eastAsia="方正仿宋_GBK" w:cs="方正仿宋_GBK"/>
          <w:sz w:val="32"/>
          <w:szCs w:val="32"/>
          <w:shd w:val="clear" w:color="auto" w:fill="FFFFFF"/>
          <w:lang w:val="en-US" w:eastAsia="zh-CN"/>
        </w:rPr>
        <w:t>2024</w:t>
      </w:r>
      <w:r>
        <w:rPr>
          <w:rFonts w:ascii="方正仿宋_GBK" w:hAnsi="方正仿宋_GBK" w:eastAsia="方正仿宋_GBK" w:cs="方正仿宋_GBK"/>
          <w:sz w:val="32"/>
          <w:szCs w:val="32"/>
          <w:shd w:val="clear" w:color="auto" w:fill="FFFFFF"/>
        </w:rPr>
        <w:t>年度会议费支出</w:t>
      </w:r>
      <w:r>
        <w:rPr>
          <w:rFonts w:hint="eastAsia" w:ascii="方正仿宋_GBK" w:hAnsi="方正仿宋_GBK" w:eastAsia="方正仿宋_GBK" w:cs="方正仿宋_GBK"/>
          <w:sz w:val="32"/>
          <w:szCs w:val="32"/>
          <w:lang w:val="en-US" w:eastAsia="zh-CN"/>
        </w:rPr>
        <w:t>0</w:t>
      </w:r>
      <w:r>
        <w:rPr>
          <w:rFonts w:ascii="方正仿宋_GBK" w:hAnsi="方正仿宋_GBK" w:eastAsia="方正仿宋_GBK" w:cs="方正仿宋_GBK"/>
          <w:sz w:val="32"/>
          <w:szCs w:val="32"/>
          <w:shd w:val="clear" w:color="auto" w:fill="FFFFFF"/>
        </w:rPr>
        <w:t>万元，主要原因是</w:t>
      </w:r>
      <w:r>
        <w:rPr>
          <w:rFonts w:hint="eastAsia" w:ascii="方正仿宋_GBK" w:hAnsi="方正仿宋_GBK" w:eastAsia="方正仿宋_GBK" w:cs="方正仿宋_GBK"/>
          <w:sz w:val="32"/>
          <w:szCs w:val="32"/>
          <w:shd w:val="clear" w:color="auto" w:fill="FFFFFF"/>
          <w:lang w:val="en-US" w:eastAsia="zh-CN"/>
        </w:rPr>
        <w:t>2024年未开展会议，故无会议费支出</w:t>
      </w:r>
      <w:r>
        <w:rPr>
          <w:rFonts w:ascii="方正仿宋_GBK" w:hAnsi="方正仿宋_GBK" w:eastAsia="方正仿宋_GBK" w:cs="方正仿宋_GBK"/>
          <w:sz w:val="32"/>
          <w:szCs w:val="32"/>
          <w:shd w:val="clear" w:color="auto" w:fill="FFFFFF"/>
        </w:rPr>
        <w:t>。本年度培训费支出</w:t>
      </w:r>
      <w:r>
        <w:rPr>
          <w:rFonts w:hint="eastAsia" w:ascii="方正仿宋_GBK" w:hAnsi="方正仿宋_GBK" w:eastAsia="方正仿宋_GBK" w:cs="方正仿宋_GBK"/>
          <w:sz w:val="32"/>
          <w:szCs w:val="32"/>
          <w:lang w:val="en-US" w:eastAsia="zh-CN"/>
        </w:rPr>
        <w:t>18.35</w:t>
      </w:r>
      <w:r>
        <w:rPr>
          <w:rFonts w:ascii="方正仿宋_GBK" w:hAnsi="方正仿宋_GBK" w:eastAsia="方正仿宋_GBK" w:cs="方正仿宋_GBK"/>
          <w:sz w:val="32"/>
          <w:szCs w:val="32"/>
          <w:shd w:val="clear" w:color="auto" w:fill="FFFFFF"/>
        </w:rPr>
        <w:t>万元，与2023年度相比，增加</w:t>
      </w:r>
      <w:r>
        <w:rPr>
          <w:rFonts w:hint="eastAsia" w:ascii="方正仿宋_GBK" w:hAnsi="方正仿宋_GBK" w:eastAsia="方正仿宋_GBK" w:cs="方正仿宋_GBK"/>
          <w:sz w:val="32"/>
          <w:szCs w:val="32"/>
          <w:shd w:val="clear" w:color="auto" w:fill="FFFFFF"/>
          <w:lang w:val="en-US" w:eastAsia="zh-CN"/>
        </w:rPr>
        <w:t>18.08</w:t>
      </w:r>
      <w:r>
        <w:rPr>
          <w:rFonts w:ascii="方正仿宋_GBK" w:hAnsi="方正仿宋_GBK" w:eastAsia="方正仿宋_GBK" w:cs="方正仿宋_GBK"/>
          <w:sz w:val="32"/>
          <w:szCs w:val="32"/>
          <w:shd w:val="clear" w:color="auto" w:fill="FFFFFF"/>
        </w:rPr>
        <w:t>万元，增长</w:t>
      </w:r>
      <w:r>
        <w:rPr>
          <w:rFonts w:hint="eastAsia" w:ascii="方正仿宋_GBK" w:hAnsi="方正仿宋_GBK" w:eastAsia="方正仿宋_GBK" w:cs="方正仿宋_GBK"/>
          <w:sz w:val="32"/>
          <w:szCs w:val="32"/>
          <w:shd w:val="clear" w:color="auto" w:fill="FFFFFF"/>
          <w:lang w:val="en-US" w:eastAsia="zh-CN"/>
        </w:rPr>
        <w:t>98.53</w:t>
      </w:r>
      <w:r>
        <w:rPr>
          <w:rFonts w:ascii="方正仿宋_GBK" w:hAnsi="方正仿宋_GBK" w:eastAsia="方正仿宋_GBK" w:cs="方正仿宋_GBK"/>
          <w:sz w:val="32"/>
          <w:szCs w:val="32"/>
          <w:shd w:val="clear" w:color="auto" w:fill="FFFFFF"/>
        </w:rPr>
        <w:t>%，主要原因是</w:t>
      </w:r>
      <w:r>
        <w:rPr>
          <w:rFonts w:hint="eastAsia" w:ascii="方正仿宋_GBK" w:hAnsi="方正仿宋_GBK" w:eastAsia="方正仿宋_GBK" w:cs="方正仿宋_GBK"/>
          <w:sz w:val="32"/>
          <w:szCs w:val="32"/>
          <w:shd w:val="clear" w:color="auto" w:fill="FFFFFF"/>
          <w:lang w:val="en-US" w:eastAsia="zh-CN"/>
        </w:rPr>
        <w:t>本年度培训费用于水上应急培训、无人机培训、职工教育培训等</w:t>
      </w:r>
      <w:r>
        <w:rPr>
          <w:rFonts w:ascii="方正仿宋_GBK" w:hAnsi="方正仿宋_GBK" w:eastAsia="方正仿宋_GBK" w:cs="方正仿宋_GBK"/>
          <w:sz w:val="32"/>
          <w:szCs w:val="32"/>
          <w:shd w:val="clear" w:color="auto" w:fill="FFFFFF"/>
        </w:rPr>
        <w:t>。</w:t>
      </w:r>
    </w:p>
    <w:p w14:paraId="73B29E78">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outlineLvl w:val="1"/>
        <w:rPr>
          <w:rStyle w:val="15"/>
          <w:rFonts w:hint="default" w:ascii="宋体" w:hAnsi="宋体" w:eastAsia="方正楷体_GBK" w:cs="方正楷体_GBK"/>
          <w:b w:val="0"/>
          <w:bCs/>
          <w:kern w:val="2"/>
          <w:sz w:val="32"/>
          <w:szCs w:val="32"/>
          <w:shd w:val="clear" w:color="auto" w:fill="FFFFFF"/>
          <w:lang w:val="en-US" w:eastAsia="zh-CN" w:bidi="ar-SA"/>
        </w:rPr>
      </w:pPr>
      <w:r>
        <w:rPr>
          <w:rStyle w:val="15"/>
          <w:rFonts w:hint="eastAsia" w:ascii="宋体" w:hAnsi="宋体" w:eastAsia="方正楷体_GBK" w:cs="方正楷体_GBK"/>
          <w:b w:val="0"/>
          <w:bCs/>
          <w:kern w:val="2"/>
          <w:sz w:val="32"/>
          <w:szCs w:val="32"/>
          <w:shd w:val="clear" w:color="auto" w:fill="FFFFFF"/>
          <w:lang w:val="en-US" w:eastAsia="zh-CN" w:bidi="ar-SA"/>
        </w:rPr>
        <w:t>（二）机关运行经费情况</w:t>
      </w:r>
    </w:p>
    <w:p w14:paraId="587570BC">
      <w:pPr>
        <w:keepNext w:val="0"/>
        <w:keepLines w:val="0"/>
        <w:pageBreakBefore w:val="0"/>
        <w:kinsoku/>
        <w:wordWrap/>
        <w:overflowPunct/>
        <w:topLinePunct w:val="0"/>
        <w:autoSpaceDN/>
        <w:bidi w:val="0"/>
        <w:snapToGrid/>
        <w:spacing w:line="579" w:lineRule="exact"/>
        <w:ind w:firstLine="480" w:firstLineChars="150"/>
        <w:textAlignment w:val="auto"/>
        <w:rPr>
          <w:rFonts w:hint="eastAsia" w:ascii="宋体" w:hAnsi="宋体" w:eastAsia="方正仿宋_GBK" w:cs="方正仿宋_GBK"/>
          <w:kern w:val="0"/>
          <w:sz w:val="32"/>
          <w:szCs w:val="32"/>
          <w:lang w:val="en-US" w:eastAsia="zh-CN" w:bidi="ar"/>
        </w:rPr>
      </w:pPr>
      <w:r>
        <w:rPr>
          <w:rFonts w:hint="eastAsia" w:ascii="宋体" w:hAnsi="宋体" w:eastAsia="方正仿宋_GBK" w:cs="方正仿宋_GBK"/>
          <w:kern w:val="0"/>
          <w:sz w:val="32"/>
          <w:szCs w:val="32"/>
          <w:lang w:val="en-US" w:eastAsia="zh-CN" w:bidi="ar"/>
        </w:rPr>
        <w:t>我单位不在机关运行经费统计范围之内。</w:t>
      </w:r>
    </w:p>
    <w:p w14:paraId="728C1FC1">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outlineLvl w:val="1"/>
        <w:rPr>
          <w:rStyle w:val="15"/>
          <w:rFonts w:hint="eastAsia" w:ascii="宋体" w:hAnsi="宋体" w:eastAsia="方正楷体_GBK" w:cs="方正楷体_GBK"/>
          <w:b w:val="0"/>
          <w:bCs/>
          <w:kern w:val="2"/>
          <w:sz w:val="32"/>
          <w:szCs w:val="32"/>
          <w:shd w:val="clear" w:color="auto" w:fill="FFFFFF"/>
          <w:lang w:val="en-US" w:eastAsia="zh-CN" w:bidi="ar-SA"/>
        </w:rPr>
      </w:pPr>
      <w:r>
        <w:rPr>
          <w:rStyle w:val="15"/>
          <w:rFonts w:hint="eastAsia" w:ascii="宋体" w:hAnsi="宋体" w:eastAsia="方正楷体_GBK" w:cs="方正楷体_GBK"/>
          <w:b w:val="0"/>
          <w:bCs/>
          <w:kern w:val="2"/>
          <w:sz w:val="32"/>
          <w:szCs w:val="32"/>
          <w:shd w:val="clear" w:color="auto" w:fill="FFFFFF"/>
          <w:lang w:val="en-US" w:eastAsia="zh-CN" w:bidi="ar-SA"/>
        </w:rPr>
        <w:t>（三）国有资产占用情况说明</w:t>
      </w:r>
    </w:p>
    <w:p w14:paraId="6CEF659D">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rPr>
          <w:rFonts w:hint="eastAsia" w:ascii="宋体" w:hAnsi="宋体" w:eastAsia="方正仿宋_GBK" w:cs="方正仿宋_GBK"/>
          <w:kern w:val="0"/>
          <w:sz w:val="32"/>
          <w:szCs w:val="32"/>
        </w:rPr>
      </w:pPr>
      <w:r>
        <w:rPr>
          <w:rFonts w:hint="eastAsia" w:ascii="宋体" w:hAnsi="宋体" w:eastAsia="方正仿宋_GBK" w:cs="方正仿宋_GBK"/>
          <w:kern w:val="0"/>
          <w:sz w:val="32"/>
          <w:szCs w:val="32"/>
        </w:rPr>
        <w:t>截至202</w:t>
      </w:r>
      <w:r>
        <w:rPr>
          <w:rFonts w:hint="eastAsia" w:ascii="宋体" w:hAnsi="宋体" w:eastAsia="方正仿宋_GBK" w:cs="方正仿宋_GBK"/>
          <w:kern w:val="0"/>
          <w:sz w:val="32"/>
          <w:szCs w:val="32"/>
          <w:lang w:val="en-US" w:eastAsia="zh-CN"/>
        </w:rPr>
        <w:t>4</w:t>
      </w:r>
      <w:r>
        <w:rPr>
          <w:rFonts w:hint="eastAsia" w:ascii="宋体" w:hAnsi="宋体" w:eastAsia="方正仿宋_GBK" w:cs="方正仿宋_GBK"/>
          <w:kern w:val="0"/>
          <w:sz w:val="32"/>
          <w:szCs w:val="32"/>
        </w:rPr>
        <w:t>年12月31日，本部门共有车辆</w:t>
      </w:r>
      <w:r>
        <w:rPr>
          <w:rFonts w:hint="eastAsia" w:ascii="宋体" w:hAnsi="宋体" w:eastAsia="方正仿宋_GBK" w:cs="方正仿宋_GBK"/>
          <w:kern w:val="0"/>
          <w:sz w:val="32"/>
          <w:szCs w:val="32"/>
          <w:lang w:val="en-US" w:eastAsia="zh-CN"/>
        </w:rPr>
        <w:t>3</w:t>
      </w:r>
      <w:r>
        <w:rPr>
          <w:rFonts w:hint="eastAsia" w:ascii="宋体" w:hAnsi="宋体" w:eastAsia="方正仿宋_GBK" w:cs="方正仿宋_GBK"/>
          <w:kern w:val="0"/>
          <w:sz w:val="32"/>
          <w:szCs w:val="32"/>
        </w:rPr>
        <w:t>辆。其中：副部（省）级及以上领导用车</w:t>
      </w:r>
      <w:r>
        <w:rPr>
          <w:rFonts w:hint="eastAsia" w:ascii="宋体" w:hAnsi="宋体" w:eastAsia="方正仿宋_GBK" w:cs="方正仿宋_GBK"/>
          <w:kern w:val="0"/>
          <w:sz w:val="32"/>
          <w:szCs w:val="32"/>
          <w:lang w:val="en-US" w:eastAsia="zh-CN"/>
        </w:rPr>
        <w:t>0</w:t>
      </w:r>
      <w:r>
        <w:rPr>
          <w:rFonts w:hint="eastAsia" w:ascii="宋体" w:hAnsi="宋体" w:eastAsia="方正仿宋_GBK" w:cs="方正仿宋_GBK"/>
          <w:kern w:val="0"/>
          <w:sz w:val="32"/>
          <w:szCs w:val="32"/>
        </w:rPr>
        <w:t>辆，主要</w:t>
      </w:r>
      <w:r>
        <w:rPr>
          <w:rFonts w:hint="eastAsia" w:ascii="宋体" w:hAnsi="宋体" w:eastAsia="方正仿宋_GBK" w:cs="方正仿宋_GBK"/>
          <w:kern w:val="0"/>
          <w:sz w:val="32"/>
          <w:szCs w:val="32"/>
          <w:lang w:val="en-US" w:eastAsia="zh-CN"/>
        </w:rPr>
        <w:t>负责人</w:t>
      </w:r>
      <w:r>
        <w:rPr>
          <w:rFonts w:hint="eastAsia" w:ascii="宋体" w:hAnsi="宋体" w:eastAsia="方正仿宋_GBK" w:cs="方正仿宋_GBK"/>
          <w:kern w:val="0"/>
          <w:sz w:val="32"/>
          <w:szCs w:val="32"/>
        </w:rPr>
        <w:t>用车</w:t>
      </w:r>
      <w:r>
        <w:rPr>
          <w:rFonts w:hint="eastAsia" w:ascii="宋体" w:hAnsi="宋体" w:eastAsia="方正仿宋_GBK" w:cs="方正仿宋_GBK"/>
          <w:kern w:val="0"/>
          <w:sz w:val="32"/>
          <w:szCs w:val="32"/>
          <w:lang w:val="en-US" w:eastAsia="zh-CN"/>
        </w:rPr>
        <w:t>0</w:t>
      </w:r>
      <w:r>
        <w:rPr>
          <w:rFonts w:hint="eastAsia" w:ascii="宋体" w:hAnsi="宋体" w:eastAsia="方正仿宋_GBK" w:cs="方正仿宋_GBK"/>
          <w:kern w:val="0"/>
          <w:sz w:val="32"/>
          <w:szCs w:val="32"/>
        </w:rPr>
        <w:t>辆，机要通信用车</w:t>
      </w:r>
      <w:r>
        <w:rPr>
          <w:rFonts w:hint="eastAsia" w:ascii="宋体" w:hAnsi="宋体" w:eastAsia="方正仿宋_GBK" w:cs="方正仿宋_GBK"/>
          <w:kern w:val="0"/>
          <w:sz w:val="32"/>
          <w:szCs w:val="32"/>
          <w:lang w:val="en-US" w:eastAsia="zh-CN"/>
        </w:rPr>
        <w:t>0</w:t>
      </w:r>
      <w:r>
        <w:rPr>
          <w:rFonts w:hint="eastAsia" w:ascii="宋体" w:hAnsi="宋体" w:eastAsia="方正仿宋_GBK" w:cs="方正仿宋_GBK"/>
          <w:kern w:val="0"/>
          <w:sz w:val="32"/>
          <w:szCs w:val="32"/>
        </w:rPr>
        <w:t>辆，应急保障用车</w:t>
      </w:r>
      <w:r>
        <w:rPr>
          <w:rFonts w:hint="eastAsia" w:ascii="宋体" w:hAnsi="宋体" w:eastAsia="方正仿宋_GBK" w:cs="方正仿宋_GBK"/>
          <w:kern w:val="0"/>
          <w:sz w:val="32"/>
          <w:szCs w:val="32"/>
          <w:lang w:val="en-US" w:eastAsia="zh-CN"/>
        </w:rPr>
        <w:t>3</w:t>
      </w:r>
      <w:r>
        <w:rPr>
          <w:rFonts w:hint="eastAsia" w:ascii="宋体" w:hAnsi="宋体" w:eastAsia="方正仿宋_GBK" w:cs="方正仿宋_GBK"/>
          <w:kern w:val="0"/>
          <w:sz w:val="32"/>
          <w:szCs w:val="32"/>
        </w:rPr>
        <w:t>辆，执法执勤用车</w:t>
      </w:r>
      <w:r>
        <w:rPr>
          <w:rFonts w:hint="eastAsia" w:ascii="宋体" w:hAnsi="宋体" w:eastAsia="方正仿宋_GBK" w:cs="方正仿宋_GBK"/>
          <w:kern w:val="0"/>
          <w:sz w:val="32"/>
          <w:szCs w:val="32"/>
          <w:lang w:val="en-US" w:eastAsia="zh-CN"/>
        </w:rPr>
        <w:t>0</w:t>
      </w:r>
      <w:r>
        <w:rPr>
          <w:rFonts w:hint="eastAsia" w:ascii="宋体" w:hAnsi="宋体" w:eastAsia="方正仿宋_GBK" w:cs="方正仿宋_GBK"/>
          <w:kern w:val="0"/>
          <w:sz w:val="32"/>
          <w:szCs w:val="32"/>
        </w:rPr>
        <w:t>辆，特种专业技术用车</w:t>
      </w:r>
      <w:r>
        <w:rPr>
          <w:rFonts w:hint="eastAsia" w:ascii="宋体" w:hAnsi="宋体" w:eastAsia="方正仿宋_GBK" w:cs="方正仿宋_GBK"/>
          <w:kern w:val="0"/>
          <w:sz w:val="32"/>
          <w:szCs w:val="32"/>
          <w:lang w:val="en-US" w:eastAsia="zh-CN"/>
        </w:rPr>
        <w:t>0</w:t>
      </w:r>
      <w:r>
        <w:rPr>
          <w:rFonts w:hint="eastAsia" w:ascii="宋体" w:hAnsi="宋体" w:eastAsia="方正仿宋_GBK" w:cs="方正仿宋_GBK"/>
          <w:kern w:val="0"/>
          <w:sz w:val="32"/>
          <w:szCs w:val="32"/>
        </w:rPr>
        <w:t>辆，离退休干部</w:t>
      </w:r>
      <w:r>
        <w:rPr>
          <w:rFonts w:hint="eastAsia" w:ascii="宋体" w:hAnsi="宋体" w:eastAsia="方正仿宋_GBK" w:cs="方正仿宋_GBK"/>
          <w:kern w:val="0"/>
          <w:sz w:val="32"/>
          <w:szCs w:val="32"/>
          <w:lang w:val="en-US" w:eastAsia="zh-CN"/>
        </w:rPr>
        <w:t>服务</w:t>
      </w:r>
      <w:r>
        <w:rPr>
          <w:rFonts w:hint="eastAsia" w:ascii="宋体" w:hAnsi="宋体" w:eastAsia="方正仿宋_GBK" w:cs="方正仿宋_GBK"/>
          <w:kern w:val="0"/>
          <w:sz w:val="32"/>
          <w:szCs w:val="32"/>
        </w:rPr>
        <w:t>用车</w:t>
      </w:r>
      <w:r>
        <w:rPr>
          <w:rFonts w:hint="eastAsia" w:ascii="宋体" w:hAnsi="宋体" w:eastAsia="方正仿宋_GBK" w:cs="方正仿宋_GBK"/>
          <w:kern w:val="0"/>
          <w:sz w:val="32"/>
          <w:szCs w:val="32"/>
          <w:lang w:val="en-US" w:eastAsia="zh-CN"/>
        </w:rPr>
        <w:t>0</w:t>
      </w:r>
      <w:r>
        <w:rPr>
          <w:rFonts w:hint="eastAsia" w:ascii="宋体" w:hAnsi="宋体" w:eastAsia="方正仿宋_GBK" w:cs="方正仿宋_GBK"/>
          <w:kern w:val="0"/>
          <w:sz w:val="32"/>
          <w:szCs w:val="32"/>
        </w:rPr>
        <w:t>辆，其他用车</w:t>
      </w:r>
      <w:r>
        <w:rPr>
          <w:rFonts w:hint="eastAsia" w:ascii="宋体" w:hAnsi="宋体" w:eastAsia="方正仿宋_GBK" w:cs="方正仿宋_GBK"/>
          <w:kern w:val="0"/>
          <w:sz w:val="32"/>
          <w:szCs w:val="32"/>
          <w:lang w:val="en-US" w:eastAsia="zh-CN"/>
        </w:rPr>
        <w:t>0</w:t>
      </w:r>
      <w:r>
        <w:rPr>
          <w:rFonts w:hint="eastAsia" w:ascii="宋体" w:hAnsi="宋体" w:eastAsia="方正仿宋_GBK" w:cs="方正仿宋_GBK"/>
          <w:kern w:val="0"/>
          <w:sz w:val="32"/>
          <w:szCs w:val="32"/>
        </w:rPr>
        <w:t>辆。</w:t>
      </w:r>
    </w:p>
    <w:p w14:paraId="3696A8EA">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outlineLvl w:val="1"/>
        <w:rPr>
          <w:rStyle w:val="15"/>
          <w:rFonts w:hint="eastAsia" w:ascii="宋体" w:hAnsi="宋体" w:eastAsia="方正楷体_GBK" w:cs="方正楷体_GBK"/>
          <w:b w:val="0"/>
          <w:bCs/>
          <w:kern w:val="2"/>
          <w:sz w:val="32"/>
          <w:szCs w:val="32"/>
          <w:shd w:val="clear" w:color="auto" w:fill="FFFFFF"/>
          <w:lang w:val="en-US" w:eastAsia="zh-CN" w:bidi="ar-SA"/>
        </w:rPr>
      </w:pPr>
      <w:r>
        <w:rPr>
          <w:rStyle w:val="15"/>
          <w:rFonts w:hint="eastAsia" w:ascii="宋体" w:hAnsi="宋体" w:eastAsia="方正楷体_GBK" w:cs="方正楷体_GBK"/>
          <w:b w:val="0"/>
          <w:bCs/>
          <w:kern w:val="2"/>
          <w:sz w:val="32"/>
          <w:szCs w:val="32"/>
          <w:shd w:val="clear" w:color="auto" w:fill="FFFFFF"/>
          <w:lang w:val="en-US" w:eastAsia="zh-CN" w:bidi="ar-SA"/>
        </w:rPr>
        <w:t>（四）政府采购支出说明</w:t>
      </w:r>
    </w:p>
    <w:p w14:paraId="7C45D7AE">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rPr>
          <w:rFonts w:hint="eastAsia" w:ascii="宋体" w:hAnsi="宋体" w:eastAsia="方正仿宋_GBK" w:cs="方正仿宋_GBK"/>
          <w:color w:val="auto"/>
          <w:sz w:val="32"/>
          <w:lang w:val="en-US" w:eastAsia="zh-CN"/>
        </w:rPr>
      </w:pPr>
      <w:r>
        <w:rPr>
          <w:rFonts w:hint="eastAsia" w:ascii="宋体" w:hAnsi="宋体" w:eastAsia="方正仿宋_GBK" w:cs="方正仿宋_GBK"/>
          <w:kern w:val="0"/>
          <w:sz w:val="32"/>
          <w:szCs w:val="32"/>
        </w:rPr>
        <w:t>202</w:t>
      </w:r>
      <w:r>
        <w:rPr>
          <w:rFonts w:hint="eastAsia" w:ascii="宋体" w:hAnsi="宋体" w:eastAsia="方正仿宋_GBK" w:cs="方正仿宋_GBK"/>
          <w:kern w:val="0"/>
          <w:sz w:val="32"/>
          <w:szCs w:val="32"/>
          <w:lang w:val="en-US" w:eastAsia="zh-CN"/>
        </w:rPr>
        <w:t>4</w:t>
      </w:r>
      <w:r>
        <w:rPr>
          <w:rFonts w:hint="eastAsia" w:ascii="宋体" w:hAnsi="宋体" w:eastAsia="方正仿宋_GBK" w:cs="方正仿宋_GBK"/>
          <w:kern w:val="0"/>
          <w:sz w:val="32"/>
          <w:szCs w:val="32"/>
        </w:rPr>
        <w:t>年度本部门政府采购支出总额</w:t>
      </w:r>
      <w:r>
        <w:rPr>
          <w:rFonts w:hint="eastAsia" w:ascii="宋体" w:hAnsi="宋体" w:eastAsia="方正仿宋_GBK" w:cs="方正仿宋_GBK"/>
          <w:kern w:val="0"/>
          <w:sz w:val="32"/>
          <w:szCs w:val="32"/>
          <w:lang w:val="en-US" w:eastAsia="zh-CN"/>
        </w:rPr>
        <w:t>3.83</w:t>
      </w:r>
      <w:r>
        <w:rPr>
          <w:rFonts w:hint="eastAsia" w:ascii="宋体" w:hAnsi="宋体" w:eastAsia="方正仿宋_GBK" w:cs="方正仿宋_GBK"/>
          <w:kern w:val="0"/>
          <w:sz w:val="32"/>
          <w:szCs w:val="32"/>
        </w:rPr>
        <w:t>万元，其中：政府采购货物支出</w:t>
      </w:r>
      <w:r>
        <w:rPr>
          <w:rFonts w:hint="eastAsia" w:ascii="宋体" w:hAnsi="宋体" w:eastAsia="方正仿宋_GBK" w:cs="方正仿宋_GBK"/>
          <w:kern w:val="0"/>
          <w:sz w:val="32"/>
          <w:szCs w:val="32"/>
          <w:lang w:val="en-US" w:eastAsia="zh-CN"/>
        </w:rPr>
        <w:t>3.83</w:t>
      </w:r>
      <w:r>
        <w:rPr>
          <w:rFonts w:hint="eastAsia" w:ascii="宋体" w:hAnsi="宋体" w:eastAsia="方正仿宋_GBK" w:cs="方正仿宋_GBK"/>
          <w:kern w:val="0"/>
          <w:sz w:val="32"/>
          <w:szCs w:val="32"/>
        </w:rPr>
        <w:t>万元、政府采购工程支出</w:t>
      </w:r>
      <w:r>
        <w:rPr>
          <w:rFonts w:hint="eastAsia" w:ascii="宋体" w:hAnsi="宋体" w:eastAsia="方正仿宋_GBK" w:cs="方正仿宋_GBK"/>
          <w:kern w:val="0"/>
          <w:sz w:val="32"/>
          <w:szCs w:val="32"/>
          <w:lang w:val="en-US" w:eastAsia="zh-CN"/>
        </w:rPr>
        <w:t>0</w:t>
      </w:r>
      <w:r>
        <w:rPr>
          <w:rFonts w:hint="eastAsia" w:ascii="宋体" w:hAnsi="宋体" w:eastAsia="方正仿宋_GBK" w:cs="方正仿宋_GBK"/>
          <w:kern w:val="0"/>
          <w:sz w:val="32"/>
          <w:szCs w:val="32"/>
        </w:rPr>
        <w:t>万元、政府采购服务支出</w:t>
      </w:r>
      <w:r>
        <w:rPr>
          <w:rFonts w:hint="eastAsia" w:ascii="宋体" w:hAnsi="宋体" w:eastAsia="方正仿宋_GBK" w:cs="方正仿宋_GBK"/>
          <w:kern w:val="0"/>
          <w:sz w:val="32"/>
          <w:szCs w:val="32"/>
          <w:lang w:val="en-US" w:eastAsia="zh-CN"/>
        </w:rPr>
        <w:t>0</w:t>
      </w:r>
      <w:r>
        <w:rPr>
          <w:rFonts w:hint="eastAsia" w:ascii="宋体" w:hAnsi="宋体" w:eastAsia="方正仿宋_GBK" w:cs="方正仿宋_GBK"/>
          <w:kern w:val="0"/>
          <w:sz w:val="32"/>
          <w:szCs w:val="32"/>
        </w:rPr>
        <w:t>万元。授予中小企业合同金额</w:t>
      </w:r>
      <w:r>
        <w:rPr>
          <w:rFonts w:hint="eastAsia" w:ascii="宋体" w:hAnsi="宋体" w:eastAsia="方正仿宋_GBK" w:cs="方正仿宋_GBK"/>
          <w:kern w:val="0"/>
          <w:sz w:val="32"/>
          <w:szCs w:val="32"/>
          <w:lang w:val="en-US" w:eastAsia="zh-CN"/>
        </w:rPr>
        <w:t>0</w:t>
      </w:r>
      <w:r>
        <w:rPr>
          <w:rFonts w:hint="eastAsia" w:ascii="宋体" w:hAnsi="宋体" w:eastAsia="方正仿宋_GBK" w:cs="方正仿宋_GBK"/>
          <w:kern w:val="0"/>
          <w:sz w:val="32"/>
          <w:szCs w:val="32"/>
        </w:rPr>
        <w:t>万元，占政府采购支出总额的</w:t>
      </w:r>
      <w:r>
        <w:rPr>
          <w:rFonts w:hint="eastAsia" w:ascii="宋体" w:hAnsi="宋体" w:eastAsia="方正仿宋_GBK" w:cs="方正仿宋_GBK"/>
          <w:kern w:val="0"/>
          <w:sz w:val="32"/>
          <w:szCs w:val="32"/>
          <w:lang w:val="en-US" w:eastAsia="zh-CN"/>
        </w:rPr>
        <w:t>0</w:t>
      </w:r>
      <w:r>
        <w:rPr>
          <w:rFonts w:hint="eastAsia" w:ascii="宋体" w:hAnsi="宋体" w:eastAsia="方正仿宋_GBK" w:cs="方正仿宋_GBK"/>
          <w:kern w:val="0"/>
          <w:sz w:val="32"/>
          <w:szCs w:val="32"/>
        </w:rPr>
        <w:t>%，其中：授予小微企业合同金额</w:t>
      </w:r>
      <w:r>
        <w:rPr>
          <w:rFonts w:hint="eastAsia" w:ascii="宋体" w:hAnsi="宋体" w:eastAsia="方正仿宋_GBK" w:cs="方正仿宋_GBK"/>
          <w:kern w:val="0"/>
          <w:sz w:val="32"/>
          <w:szCs w:val="32"/>
          <w:lang w:val="en-US" w:eastAsia="zh-CN"/>
        </w:rPr>
        <w:t>3.67</w:t>
      </w:r>
      <w:r>
        <w:rPr>
          <w:rFonts w:hint="eastAsia" w:ascii="宋体" w:hAnsi="宋体" w:eastAsia="方正仿宋_GBK" w:cs="方正仿宋_GBK"/>
          <w:kern w:val="0"/>
          <w:sz w:val="32"/>
          <w:szCs w:val="32"/>
        </w:rPr>
        <w:t>万元，占政府采购支出总额的</w:t>
      </w:r>
      <w:r>
        <w:rPr>
          <w:rFonts w:hint="eastAsia" w:ascii="宋体" w:hAnsi="宋体" w:eastAsia="方正仿宋_GBK" w:cs="方正仿宋_GBK"/>
          <w:kern w:val="0"/>
          <w:sz w:val="32"/>
          <w:szCs w:val="32"/>
          <w:lang w:val="en-US" w:eastAsia="zh-CN"/>
        </w:rPr>
        <w:t>95.82</w:t>
      </w:r>
      <w:r>
        <w:rPr>
          <w:rFonts w:hint="eastAsia" w:ascii="宋体" w:hAnsi="宋体" w:eastAsia="方正仿宋_GBK" w:cs="方正仿宋_GBK"/>
          <w:kern w:val="0"/>
          <w:sz w:val="32"/>
          <w:szCs w:val="32"/>
        </w:rPr>
        <w:t>%。</w:t>
      </w:r>
      <w:r>
        <w:rPr>
          <w:rFonts w:hint="eastAsia" w:ascii="宋体" w:hAnsi="宋体" w:eastAsia="方正仿宋_GBK" w:cs="方正仿宋_GBK"/>
          <w:color w:val="auto"/>
          <w:sz w:val="32"/>
          <w:lang w:val="en-US" w:eastAsia="zh-CN"/>
        </w:rPr>
        <w:t>主要用于采购办公设备及耗材等。</w:t>
      </w:r>
    </w:p>
    <w:p w14:paraId="29058809">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left"/>
        <w:textAlignment w:val="auto"/>
        <w:outlineLvl w:val="0"/>
        <w:rPr>
          <w:rFonts w:hint="eastAsia" w:ascii="宋体" w:hAnsi="宋体" w:eastAsia="方正黑体_GBK" w:cs="方正黑体_GBK"/>
          <w:b w:val="0"/>
          <w:bCs/>
          <w:sz w:val="32"/>
          <w:szCs w:val="32"/>
          <w:lang w:eastAsia="zh-CN"/>
        </w:rPr>
      </w:pPr>
      <w:r>
        <w:rPr>
          <w:rStyle w:val="9"/>
          <w:rFonts w:hint="eastAsia" w:ascii="宋体" w:hAnsi="宋体" w:eastAsia="方正黑体_GBK" w:cs="方正黑体_GBK"/>
          <w:b w:val="0"/>
          <w:bCs/>
          <w:sz w:val="32"/>
          <w:szCs w:val="32"/>
          <w:shd w:val="clear" w:color="auto" w:fill="FFFFFF"/>
        </w:rPr>
        <w:t>五、预算绩效管理情况</w:t>
      </w:r>
    </w:p>
    <w:p w14:paraId="224F7D5C">
      <w:pPr>
        <w:pStyle w:val="6"/>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79" w:lineRule="exact"/>
        <w:ind w:left="0" w:firstLine="640" w:firstLineChars="200"/>
        <w:jc w:val="left"/>
        <w:textAlignment w:val="auto"/>
        <w:outlineLvl w:val="1"/>
        <w:rPr>
          <w:rFonts w:hint="eastAsia" w:ascii="宋体" w:hAnsi="宋体" w:eastAsia="方正楷体_GBK" w:cs="方正楷体_GBK"/>
        </w:rPr>
      </w:pPr>
      <w:r>
        <w:rPr>
          <w:rStyle w:val="15"/>
          <w:rFonts w:hint="eastAsia" w:ascii="宋体" w:hAnsi="宋体" w:eastAsia="方正楷体_GBK" w:cs="方正楷体_GBK"/>
          <w:b w:val="0"/>
          <w:bCs/>
          <w:kern w:val="2"/>
          <w:sz w:val="32"/>
          <w:szCs w:val="32"/>
          <w:shd w:val="clear" w:color="auto" w:fill="FFFFFF"/>
          <w:lang w:val="en-US" w:eastAsia="zh-CN" w:bidi="ar-SA"/>
        </w:rPr>
        <w:t>（一）预算绩效管理工作开展情况</w:t>
      </w:r>
    </w:p>
    <w:p w14:paraId="0966A2F2">
      <w:pPr>
        <w:pStyle w:val="6"/>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79" w:lineRule="exact"/>
        <w:ind w:left="0" w:firstLine="640" w:firstLineChars="200"/>
        <w:jc w:val="left"/>
        <w:textAlignment w:val="auto"/>
        <w:rPr>
          <w:rFonts w:hint="eastAsia" w:ascii="宋体" w:hAnsi="宋体" w:eastAsia="方正仿宋_GBK" w:cs="方正仿宋_GBK"/>
        </w:rPr>
      </w:pPr>
      <w:r>
        <w:rPr>
          <w:rFonts w:hint="eastAsia" w:ascii="宋体" w:hAnsi="宋体" w:eastAsia="方正仿宋_GBK" w:cs="方正仿宋_GBK"/>
          <w:kern w:val="0"/>
          <w:sz w:val="32"/>
          <w:szCs w:val="32"/>
        </w:rPr>
        <w:t>根据预算绩效管理要求，我</w:t>
      </w:r>
      <w:r>
        <w:rPr>
          <w:rFonts w:hint="eastAsia" w:ascii="宋体" w:hAnsi="宋体" w:eastAsia="方正仿宋_GBK" w:cs="方正仿宋_GBK"/>
          <w:kern w:val="0"/>
          <w:sz w:val="32"/>
          <w:szCs w:val="32"/>
          <w:lang w:val="en-US" w:eastAsia="zh-CN"/>
        </w:rPr>
        <w:t>中心21</w:t>
      </w:r>
      <w:r>
        <w:rPr>
          <w:rFonts w:hint="eastAsia" w:ascii="宋体" w:hAnsi="宋体" w:eastAsia="方正仿宋_GBK" w:cs="方正仿宋_GBK"/>
          <w:kern w:val="0"/>
          <w:sz w:val="32"/>
          <w:szCs w:val="32"/>
        </w:rPr>
        <w:t>个项目开展了绩效自评，其中，以填报目标自评表形式开展自评</w:t>
      </w:r>
      <w:r>
        <w:rPr>
          <w:rFonts w:hint="eastAsia" w:ascii="宋体" w:hAnsi="宋体" w:eastAsia="方正仿宋_GBK" w:cs="方正仿宋_GBK"/>
          <w:kern w:val="0"/>
          <w:sz w:val="32"/>
          <w:szCs w:val="32"/>
          <w:lang w:val="en-US" w:eastAsia="zh-CN"/>
        </w:rPr>
        <w:t>0</w:t>
      </w:r>
      <w:r>
        <w:rPr>
          <w:rFonts w:hint="eastAsia" w:ascii="宋体" w:hAnsi="宋体" w:eastAsia="方正仿宋_GBK" w:cs="方正仿宋_GBK"/>
          <w:kern w:val="0"/>
          <w:sz w:val="32"/>
          <w:szCs w:val="32"/>
        </w:rPr>
        <w:t>项，涉及资金</w:t>
      </w:r>
      <w:r>
        <w:rPr>
          <w:rFonts w:hint="eastAsia" w:ascii="宋体" w:hAnsi="宋体" w:eastAsia="方正仿宋_GBK" w:cs="方正仿宋_GBK"/>
          <w:kern w:val="0"/>
          <w:sz w:val="32"/>
          <w:szCs w:val="32"/>
          <w:lang w:val="en-US" w:eastAsia="zh-CN"/>
        </w:rPr>
        <w:t>0</w:t>
      </w:r>
      <w:r>
        <w:rPr>
          <w:rFonts w:hint="eastAsia" w:ascii="宋体" w:hAnsi="宋体" w:eastAsia="方正仿宋_GBK" w:cs="方正仿宋_GBK"/>
          <w:kern w:val="0"/>
          <w:sz w:val="32"/>
          <w:szCs w:val="32"/>
        </w:rPr>
        <w:t>万元；</w:t>
      </w:r>
      <w:r>
        <w:rPr>
          <w:rFonts w:hint="eastAsia" w:ascii="宋体" w:hAnsi="宋体" w:eastAsia="方正仿宋_GBK" w:cs="方正仿宋_GBK"/>
          <w:kern w:val="0"/>
          <w:sz w:val="32"/>
          <w:szCs w:val="32"/>
          <w:lang w:val="en-US" w:eastAsia="zh-CN"/>
        </w:rPr>
        <w:t>未</w:t>
      </w:r>
      <w:r>
        <w:rPr>
          <w:rFonts w:hint="eastAsia" w:ascii="宋体" w:hAnsi="宋体" w:eastAsia="方正仿宋_GBK" w:cs="方正仿宋_GBK"/>
          <w:kern w:val="0"/>
          <w:sz w:val="32"/>
          <w:szCs w:val="32"/>
        </w:rPr>
        <w:t>委托第三方形式开展绩效自评</w:t>
      </w:r>
      <w:r>
        <w:rPr>
          <w:rFonts w:hint="eastAsia" w:ascii="宋体" w:hAnsi="宋体" w:eastAsia="方正仿宋_GBK" w:cs="方正仿宋_GBK"/>
          <w:kern w:val="0"/>
          <w:sz w:val="32"/>
          <w:szCs w:val="32"/>
          <w:lang w:eastAsia="zh-CN"/>
        </w:rPr>
        <w:t>。</w:t>
      </w:r>
    </w:p>
    <w:p w14:paraId="2B0162AE">
      <w:pPr>
        <w:pStyle w:val="6"/>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79" w:lineRule="exact"/>
        <w:ind w:left="0" w:firstLine="640" w:firstLineChars="200"/>
        <w:jc w:val="left"/>
        <w:textAlignment w:val="auto"/>
        <w:outlineLvl w:val="1"/>
        <w:rPr>
          <w:rStyle w:val="15"/>
          <w:rFonts w:hint="eastAsia" w:ascii="宋体" w:hAnsi="宋体" w:eastAsia="方正楷体_GBK" w:cs="方正楷体_GBK"/>
          <w:b w:val="0"/>
          <w:bCs/>
          <w:kern w:val="2"/>
          <w:sz w:val="32"/>
          <w:szCs w:val="32"/>
          <w:shd w:val="clear" w:color="auto" w:fill="FFFFFF"/>
          <w:lang w:val="en-US" w:eastAsia="zh-CN" w:bidi="ar-SA"/>
        </w:rPr>
      </w:pPr>
      <w:r>
        <w:rPr>
          <w:rStyle w:val="15"/>
          <w:rFonts w:hint="eastAsia" w:ascii="宋体" w:hAnsi="宋体" w:eastAsia="方正楷体_GBK" w:cs="方正楷体_GBK"/>
          <w:b w:val="0"/>
          <w:bCs/>
          <w:kern w:val="2"/>
          <w:sz w:val="32"/>
          <w:szCs w:val="32"/>
          <w:shd w:val="clear" w:color="auto" w:fill="FFFFFF"/>
          <w:lang w:val="en-US" w:eastAsia="zh-CN" w:bidi="ar-SA"/>
        </w:rPr>
        <w:t>（二）绩效自评结果</w:t>
      </w:r>
    </w:p>
    <w:p w14:paraId="1454364D">
      <w:pPr>
        <w:pStyle w:val="6"/>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79" w:lineRule="exact"/>
        <w:ind w:left="0" w:firstLine="643" w:firstLineChars="200"/>
        <w:jc w:val="left"/>
        <w:textAlignment w:val="auto"/>
        <w:rPr>
          <w:rFonts w:hint="eastAsia" w:ascii="宋体" w:hAnsi="宋体" w:eastAsia="方正仿宋_GBK" w:cs="方正仿宋_GBK"/>
          <w:b/>
          <w:bCs/>
          <w:color w:val="auto"/>
          <w:sz w:val="32"/>
          <w:lang w:val="en-US" w:eastAsia="zh-CN"/>
        </w:rPr>
      </w:pPr>
      <w:r>
        <w:rPr>
          <w:rFonts w:hint="eastAsia" w:ascii="宋体" w:hAnsi="宋体" w:eastAsia="方正仿宋_GBK" w:cs="方正仿宋_GBK"/>
          <w:b/>
          <w:bCs/>
          <w:color w:val="auto"/>
          <w:sz w:val="32"/>
          <w:lang w:val="en-US" w:eastAsia="zh-CN"/>
        </w:rPr>
        <w:t>1. 绩效目标自评表</w:t>
      </w:r>
    </w:p>
    <w:p w14:paraId="01D1725C">
      <w:pPr>
        <w:pStyle w:val="10"/>
        <w:keepNext w:val="0"/>
        <w:keepLines w:val="0"/>
        <w:pageBreakBefore w:val="0"/>
        <w:tabs>
          <w:tab w:val="center" w:pos="4153"/>
          <w:tab w:val="left" w:pos="7275"/>
        </w:tabs>
        <w:kinsoku/>
        <w:wordWrap/>
        <w:overflowPunct/>
        <w:topLinePunct w:val="0"/>
        <w:autoSpaceDN/>
        <w:bidi w:val="0"/>
        <w:snapToGrid/>
        <w:spacing w:line="579" w:lineRule="exact"/>
        <w:ind w:firstLine="640"/>
        <w:textAlignment w:val="auto"/>
        <w:rPr>
          <w:rFonts w:hint="eastAsia" w:ascii="宋体" w:hAnsi="宋体" w:eastAsia="方正仿宋_GBK" w:cs="方正仿宋_GBK"/>
          <w:color w:val="auto"/>
          <w:kern w:val="0"/>
          <w:sz w:val="32"/>
          <w:szCs w:val="32"/>
          <w:lang w:eastAsia="zh-CN"/>
        </w:rPr>
      </w:pPr>
      <w:r>
        <w:rPr>
          <w:rFonts w:hint="eastAsia" w:ascii="宋体" w:hAnsi="宋体" w:eastAsia="方正仿宋_GBK" w:cs="方正仿宋_GBK"/>
          <w:color w:val="000000"/>
          <w:kern w:val="0"/>
          <w:sz w:val="32"/>
          <w:szCs w:val="32"/>
        </w:rPr>
        <w:t>（1）公开范围。</w:t>
      </w:r>
      <w:r>
        <w:rPr>
          <w:rFonts w:ascii="方正仿宋_GBK" w:hAnsi="方正仿宋_GBK" w:eastAsia="方正仿宋_GBK" w:cs="方正仿宋_GBK"/>
          <w:i w:val="0"/>
          <w:iCs w:val="0"/>
          <w:caps w:val="0"/>
          <w:spacing w:val="0"/>
          <w:sz w:val="32"/>
          <w:szCs w:val="32"/>
          <w:shd w:val="clear" w:fill="FFFFFF"/>
        </w:rPr>
        <w:t>本单位无重点专项二级项目，故选取一般性项目进行公开。</w:t>
      </w:r>
    </w:p>
    <w:p w14:paraId="364FDA7F">
      <w:pPr>
        <w:pStyle w:val="10"/>
        <w:keepNext w:val="0"/>
        <w:keepLines w:val="0"/>
        <w:pageBreakBefore w:val="0"/>
        <w:widowControl w:val="0"/>
        <w:tabs>
          <w:tab w:val="center" w:pos="4153"/>
          <w:tab w:val="left" w:pos="7275"/>
        </w:tabs>
        <w:kinsoku/>
        <w:wordWrap/>
        <w:overflowPunct/>
        <w:topLinePunct w:val="0"/>
        <w:autoSpaceDE/>
        <w:autoSpaceDN/>
        <w:bidi w:val="0"/>
        <w:adjustRightInd/>
        <w:snapToGrid/>
        <w:spacing w:line="579" w:lineRule="exact"/>
        <w:ind w:firstLine="640"/>
        <w:textAlignment w:val="auto"/>
        <w:rPr>
          <w:rFonts w:hint="eastAsia" w:ascii="宋体" w:hAnsi="宋体" w:eastAsia="方正仿宋_GBK" w:cs="方正仿宋_GBK"/>
          <w:kern w:val="0"/>
          <w:sz w:val="32"/>
          <w:szCs w:val="32"/>
        </w:rPr>
      </w:pPr>
      <w:r>
        <w:rPr>
          <w:rFonts w:hint="eastAsia" w:ascii="宋体" w:hAnsi="宋体" w:eastAsia="方正仿宋_GBK" w:cs="方正仿宋_GBK"/>
          <w:kern w:val="0"/>
          <w:sz w:val="32"/>
          <w:szCs w:val="32"/>
        </w:rPr>
        <w:t>（2）公开内容。详见表格。</w:t>
      </w:r>
    </w:p>
    <w:p w14:paraId="1284766C">
      <w:pPr>
        <w:pStyle w:val="10"/>
        <w:keepNext w:val="0"/>
        <w:keepLines w:val="0"/>
        <w:pageBreakBefore w:val="0"/>
        <w:tabs>
          <w:tab w:val="center" w:pos="4153"/>
          <w:tab w:val="left" w:pos="7275"/>
        </w:tabs>
        <w:kinsoku/>
        <w:wordWrap/>
        <w:overflowPunct/>
        <w:topLinePunct w:val="0"/>
        <w:autoSpaceDN/>
        <w:bidi w:val="0"/>
        <w:snapToGrid/>
        <w:spacing w:line="579" w:lineRule="exact"/>
        <w:ind w:firstLine="2160" w:firstLineChars="600"/>
        <w:jc w:val="both"/>
        <w:textAlignment w:val="auto"/>
        <w:rPr>
          <w:rFonts w:hint="eastAsia" w:ascii="方正黑体_GBK" w:hAnsi="方正黑体_GBK" w:eastAsia="方正黑体_GBK" w:cs="方正黑体_GBK"/>
          <w:b w:val="0"/>
          <w:bCs w:val="0"/>
          <w:color w:val="000000"/>
          <w:kern w:val="0"/>
          <w:sz w:val="36"/>
          <w:szCs w:val="36"/>
        </w:rPr>
      </w:pPr>
      <w:r>
        <w:rPr>
          <w:rFonts w:hint="eastAsia" w:ascii="方正黑体_GBK" w:hAnsi="方正黑体_GBK" w:eastAsia="方正黑体_GBK" w:cs="方正黑体_GBK"/>
          <w:b w:val="0"/>
          <w:bCs w:val="0"/>
          <w:color w:val="000000"/>
          <w:kern w:val="0"/>
          <w:sz w:val="36"/>
          <w:szCs w:val="36"/>
          <w:lang w:val="en-US" w:eastAsia="zh-CN"/>
        </w:rPr>
        <w:t>2024年度项目</w:t>
      </w:r>
      <w:r>
        <w:rPr>
          <w:rFonts w:hint="eastAsia" w:ascii="方正黑体_GBK" w:hAnsi="方正黑体_GBK" w:eastAsia="方正黑体_GBK" w:cs="方正黑体_GBK"/>
          <w:b w:val="0"/>
          <w:bCs w:val="0"/>
          <w:color w:val="000000"/>
          <w:kern w:val="0"/>
          <w:sz w:val="36"/>
          <w:szCs w:val="36"/>
        </w:rPr>
        <w:t>绩效自评表</w:t>
      </w:r>
    </w:p>
    <w:tbl>
      <w:tblPr>
        <w:tblStyle w:val="7"/>
        <w:tblW w:w="102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7"/>
        <w:gridCol w:w="756"/>
        <w:gridCol w:w="708"/>
        <w:gridCol w:w="709"/>
        <w:gridCol w:w="366"/>
        <w:gridCol w:w="478"/>
        <w:gridCol w:w="684"/>
        <w:gridCol w:w="288"/>
        <w:gridCol w:w="1024"/>
        <w:gridCol w:w="1004"/>
        <w:gridCol w:w="76"/>
        <w:gridCol w:w="1016"/>
        <w:gridCol w:w="76"/>
        <w:gridCol w:w="862"/>
        <w:gridCol w:w="422"/>
        <w:gridCol w:w="816"/>
        <w:gridCol w:w="76"/>
      </w:tblGrid>
      <w:tr w14:paraId="0400BC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7" w:hRule="atLeast"/>
          <w:jc w:val="center"/>
        </w:trPr>
        <w:tc>
          <w:tcPr>
            <w:tcW w:w="847" w:type="dxa"/>
            <w:tcBorders>
              <w:tl2br w:val="nil"/>
              <w:tr2bl w:val="nil"/>
            </w:tcBorders>
            <w:noWrap w:val="0"/>
            <w:vAlign w:val="center"/>
          </w:tcPr>
          <w:p w14:paraId="6A0EB185">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项目</w:t>
            </w:r>
          </w:p>
          <w:p w14:paraId="6F7CA4E0">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名称</w:t>
            </w:r>
          </w:p>
        </w:tc>
        <w:tc>
          <w:tcPr>
            <w:tcW w:w="3701" w:type="dxa"/>
            <w:gridSpan w:val="6"/>
            <w:tcBorders>
              <w:tl2br w:val="nil"/>
              <w:tr2bl w:val="nil"/>
            </w:tcBorders>
            <w:noWrap w:val="0"/>
            <w:vAlign w:val="center"/>
          </w:tcPr>
          <w:p w14:paraId="665E619D">
            <w:pPr>
              <w:keepNext w:val="0"/>
              <w:keepLines w:val="0"/>
              <w:pageBreakBefore w:val="0"/>
              <w:widowControl/>
              <w:kinsoku/>
              <w:wordWrap/>
              <w:overflowPunct/>
              <w:topLinePunct w:val="0"/>
              <w:autoSpaceDN/>
              <w:bidi w:val="0"/>
              <w:snapToGrid/>
              <w:spacing w:line="579" w:lineRule="exact"/>
              <w:jc w:val="center"/>
              <w:textAlignment w:val="auto"/>
              <w:rPr>
                <w:rFonts w:hint="default" w:ascii="宋体" w:hAnsi="宋体" w:eastAsia="方正仿宋_GBK" w:cs="方正仿宋_GBK"/>
                <w:color w:val="000000"/>
                <w:kern w:val="0"/>
                <w:sz w:val="24"/>
                <w:szCs w:val="24"/>
                <w:lang w:val="en-US" w:eastAsia="zh-CN"/>
              </w:rPr>
            </w:pPr>
            <w:r>
              <w:rPr>
                <w:rFonts w:hint="eastAsia" w:ascii="宋体" w:hAnsi="宋体" w:eastAsia="方正仿宋_GBK" w:cs="方正仿宋_GBK"/>
                <w:color w:val="000000"/>
                <w:kern w:val="0"/>
                <w:sz w:val="24"/>
                <w:szCs w:val="24"/>
                <w:lang w:val="en-US" w:eastAsia="zh-CN"/>
              </w:rPr>
              <w:t>水上污染物接收转运经费</w:t>
            </w:r>
          </w:p>
        </w:tc>
        <w:tc>
          <w:tcPr>
            <w:tcW w:w="1312" w:type="dxa"/>
            <w:gridSpan w:val="2"/>
            <w:tcBorders>
              <w:tl2br w:val="nil"/>
              <w:tr2bl w:val="nil"/>
            </w:tcBorders>
            <w:noWrap w:val="0"/>
            <w:vAlign w:val="center"/>
          </w:tcPr>
          <w:p w14:paraId="5F228452">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自评</w:t>
            </w:r>
          </w:p>
          <w:p w14:paraId="254523B6">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总分</w:t>
            </w:r>
          </w:p>
          <w:p w14:paraId="5CAA5BE4">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（分）</w:t>
            </w:r>
          </w:p>
        </w:tc>
        <w:tc>
          <w:tcPr>
            <w:tcW w:w="4348" w:type="dxa"/>
            <w:gridSpan w:val="8"/>
            <w:tcBorders>
              <w:tl2br w:val="nil"/>
              <w:tr2bl w:val="nil"/>
            </w:tcBorders>
            <w:noWrap w:val="0"/>
            <w:vAlign w:val="center"/>
          </w:tcPr>
          <w:p w14:paraId="63F5B604">
            <w:pPr>
              <w:keepNext w:val="0"/>
              <w:keepLines w:val="0"/>
              <w:pageBreakBefore w:val="0"/>
              <w:widowControl/>
              <w:kinsoku/>
              <w:wordWrap/>
              <w:overflowPunct/>
              <w:topLinePunct w:val="0"/>
              <w:autoSpaceDN/>
              <w:bidi w:val="0"/>
              <w:snapToGrid/>
              <w:spacing w:line="579" w:lineRule="exact"/>
              <w:textAlignment w:val="auto"/>
              <w:rPr>
                <w:rFonts w:hint="default" w:ascii="宋体" w:hAnsi="宋体" w:eastAsia="方正仿宋_GBK" w:cs="方正仿宋_GBK"/>
                <w:color w:val="000000"/>
                <w:kern w:val="0"/>
                <w:sz w:val="24"/>
                <w:szCs w:val="24"/>
                <w:lang w:val="en-US" w:eastAsia="zh-CN"/>
              </w:rPr>
            </w:pPr>
            <w:r>
              <w:rPr>
                <w:rFonts w:hint="eastAsia" w:ascii="宋体" w:hAnsi="宋体" w:eastAsia="方正仿宋_GBK" w:cs="方正仿宋_GBK"/>
                <w:color w:val="000000"/>
                <w:kern w:val="0"/>
                <w:sz w:val="24"/>
                <w:szCs w:val="24"/>
                <w:lang w:val="en-US" w:eastAsia="zh-CN"/>
              </w:rPr>
              <w:t>100</w:t>
            </w:r>
          </w:p>
        </w:tc>
      </w:tr>
      <w:tr w14:paraId="0F9056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47" w:type="dxa"/>
            <w:tcBorders>
              <w:tl2br w:val="nil"/>
              <w:tr2bl w:val="nil"/>
            </w:tcBorders>
            <w:noWrap w:val="0"/>
            <w:vAlign w:val="center"/>
          </w:tcPr>
          <w:p w14:paraId="23DA04E2">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lang w:val="en-US" w:eastAsia="zh-CN"/>
              </w:rPr>
              <w:t>项目</w:t>
            </w:r>
            <w:r>
              <w:rPr>
                <w:rFonts w:hint="eastAsia" w:ascii="宋体" w:hAnsi="宋体" w:eastAsia="方正仿宋_GBK" w:cs="方正仿宋_GBK"/>
                <w:color w:val="000000"/>
                <w:kern w:val="0"/>
                <w:sz w:val="24"/>
                <w:szCs w:val="24"/>
              </w:rPr>
              <w:t>主管</w:t>
            </w:r>
          </w:p>
          <w:p w14:paraId="57D09496">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部门</w:t>
            </w:r>
          </w:p>
        </w:tc>
        <w:tc>
          <w:tcPr>
            <w:tcW w:w="1464" w:type="dxa"/>
            <w:gridSpan w:val="2"/>
            <w:tcBorders>
              <w:tl2br w:val="nil"/>
              <w:tr2bl w:val="nil"/>
            </w:tcBorders>
            <w:noWrap w:val="0"/>
            <w:vAlign w:val="center"/>
          </w:tcPr>
          <w:p w14:paraId="33601ADD">
            <w:pPr>
              <w:keepNext w:val="0"/>
              <w:keepLines w:val="0"/>
              <w:pageBreakBefore w:val="0"/>
              <w:widowControl/>
              <w:kinsoku/>
              <w:wordWrap/>
              <w:overflowPunct/>
              <w:topLinePunct w:val="0"/>
              <w:autoSpaceDN/>
              <w:bidi w:val="0"/>
              <w:snapToGrid/>
              <w:spacing w:line="579" w:lineRule="exact"/>
              <w:jc w:val="center"/>
              <w:textAlignment w:val="auto"/>
              <w:rPr>
                <w:rFonts w:hint="default" w:ascii="宋体" w:hAnsi="宋体" w:eastAsia="方正仿宋_GBK" w:cs="方正仿宋_GBK"/>
                <w:color w:val="000000"/>
                <w:kern w:val="0"/>
                <w:sz w:val="24"/>
                <w:szCs w:val="24"/>
                <w:lang w:val="en-US" w:eastAsia="zh-CN"/>
              </w:rPr>
            </w:pPr>
            <w:r>
              <w:rPr>
                <w:rFonts w:hint="eastAsia" w:ascii="宋体" w:hAnsi="宋体" w:eastAsia="方正仿宋_GBK" w:cs="方正仿宋_GBK"/>
                <w:color w:val="000000"/>
                <w:kern w:val="0"/>
                <w:sz w:val="24"/>
                <w:szCs w:val="24"/>
                <w:lang w:val="en-US" w:eastAsia="zh-CN"/>
              </w:rPr>
              <w:t>重庆市江津区交通运输委员会</w:t>
            </w:r>
          </w:p>
        </w:tc>
        <w:tc>
          <w:tcPr>
            <w:tcW w:w="1075" w:type="dxa"/>
            <w:gridSpan w:val="2"/>
            <w:tcBorders>
              <w:tl2br w:val="nil"/>
              <w:tr2bl w:val="nil"/>
            </w:tcBorders>
            <w:noWrap w:val="0"/>
            <w:vAlign w:val="center"/>
          </w:tcPr>
          <w:p w14:paraId="0EB59A90">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lang w:val="en-US" w:eastAsia="zh-CN"/>
              </w:rPr>
            </w:pPr>
            <w:r>
              <w:rPr>
                <w:rFonts w:hint="eastAsia" w:ascii="宋体" w:hAnsi="宋体" w:eastAsia="方正仿宋_GBK" w:cs="方正仿宋_GBK"/>
                <w:color w:val="000000"/>
                <w:kern w:val="0"/>
                <w:sz w:val="24"/>
                <w:szCs w:val="24"/>
                <w:lang w:val="en-US" w:eastAsia="zh-CN"/>
              </w:rPr>
              <w:t>财政归口科室</w:t>
            </w:r>
          </w:p>
        </w:tc>
        <w:tc>
          <w:tcPr>
            <w:tcW w:w="1162" w:type="dxa"/>
            <w:gridSpan w:val="2"/>
            <w:tcBorders>
              <w:tl2br w:val="nil"/>
              <w:tr2bl w:val="nil"/>
            </w:tcBorders>
            <w:noWrap w:val="0"/>
            <w:vAlign w:val="center"/>
          </w:tcPr>
          <w:p w14:paraId="457479FD">
            <w:pPr>
              <w:keepNext w:val="0"/>
              <w:keepLines w:val="0"/>
              <w:pageBreakBefore w:val="0"/>
              <w:widowControl/>
              <w:kinsoku/>
              <w:wordWrap/>
              <w:overflowPunct/>
              <w:topLinePunct w:val="0"/>
              <w:autoSpaceDN/>
              <w:bidi w:val="0"/>
              <w:snapToGrid/>
              <w:spacing w:line="579" w:lineRule="exact"/>
              <w:jc w:val="center"/>
              <w:textAlignment w:val="auto"/>
              <w:rPr>
                <w:rFonts w:hint="default" w:ascii="宋体" w:hAnsi="宋体" w:eastAsia="方正仿宋_GBK" w:cs="方正仿宋_GBK"/>
                <w:color w:val="000000"/>
                <w:kern w:val="0"/>
                <w:sz w:val="24"/>
                <w:szCs w:val="24"/>
                <w:lang w:val="en-US" w:eastAsia="zh-CN"/>
              </w:rPr>
            </w:pPr>
            <w:r>
              <w:rPr>
                <w:rFonts w:hint="eastAsia" w:ascii="宋体" w:hAnsi="宋体" w:eastAsia="方正仿宋_GBK" w:cs="方正仿宋_GBK"/>
                <w:color w:val="000000"/>
                <w:kern w:val="0"/>
                <w:sz w:val="24"/>
                <w:szCs w:val="24"/>
                <w:lang w:val="en-US" w:eastAsia="zh-CN"/>
              </w:rPr>
              <w:t>经济建设科</w:t>
            </w:r>
          </w:p>
        </w:tc>
        <w:tc>
          <w:tcPr>
            <w:tcW w:w="1312" w:type="dxa"/>
            <w:gridSpan w:val="2"/>
            <w:tcBorders>
              <w:tl2br w:val="nil"/>
              <w:tr2bl w:val="nil"/>
            </w:tcBorders>
            <w:noWrap w:val="0"/>
            <w:vAlign w:val="center"/>
          </w:tcPr>
          <w:p w14:paraId="7086B073">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项目</w:t>
            </w:r>
          </w:p>
          <w:p w14:paraId="16E08D45">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联系人</w:t>
            </w:r>
          </w:p>
        </w:tc>
        <w:tc>
          <w:tcPr>
            <w:tcW w:w="1080" w:type="dxa"/>
            <w:gridSpan w:val="2"/>
            <w:tcBorders>
              <w:tl2br w:val="nil"/>
              <w:tr2bl w:val="nil"/>
            </w:tcBorders>
            <w:noWrap w:val="0"/>
            <w:vAlign w:val="center"/>
          </w:tcPr>
          <w:p w14:paraId="55AE4300">
            <w:pPr>
              <w:keepNext w:val="0"/>
              <w:keepLines w:val="0"/>
              <w:pageBreakBefore w:val="0"/>
              <w:widowControl/>
              <w:kinsoku/>
              <w:wordWrap/>
              <w:overflowPunct/>
              <w:topLinePunct w:val="0"/>
              <w:autoSpaceDN/>
              <w:bidi w:val="0"/>
              <w:snapToGrid/>
              <w:spacing w:line="579" w:lineRule="exact"/>
              <w:jc w:val="center"/>
              <w:textAlignment w:val="auto"/>
              <w:rPr>
                <w:rFonts w:hint="default" w:ascii="宋体" w:hAnsi="宋体" w:eastAsia="方正仿宋_GBK" w:cs="方正仿宋_GBK"/>
                <w:color w:val="000000"/>
                <w:kern w:val="0"/>
                <w:sz w:val="24"/>
                <w:szCs w:val="24"/>
                <w:lang w:val="en-US" w:eastAsia="zh-CN"/>
              </w:rPr>
            </w:pPr>
            <w:r>
              <w:rPr>
                <w:rFonts w:hint="eastAsia" w:ascii="宋体" w:hAnsi="宋体" w:eastAsia="方正仿宋_GBK" w:cs="方正仿宋_GBK"/>
                <w:color w:val="000000"/>
                <w:kern w:val="0"/>
                <w:sz w:val="24"/>
                <w:szCs w:val="24"/>
                <w:lang w:val="en-US" w:eastAsia="zh-CN"/>
              </w:rPr>
              <w:t>陈正彬</w:t>
            </w:r>
          </w:p>
        </w:tc>
        <w:tc>
          <w:tcPr>
            <w:tcW w:w="1092" w:type="dxa"/>
            <w:gridSpan w:val="2"/>
            <w:tcBorders>
              <w:tl2br w:val="nil"/>
              <w:tr2bl w:val="nil"/>
            </w:tcBorders>
            <w:noWrap w:val="0"/>
            <w:vAlign w:val="center"/>
          </w:tcPr>
          <w:p w14:paraId="7974DF55">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联系电话</w:t>
            </w:r>
          </w:p>
        </w:tc>
        <w:tc>
          <w:tcPr>
            <w:tcW w:w="2176" w:type="dxa"/>
            <w:gridSpan w:val="4"/>
            <w:tcBorders>
              <w:tl2br w:val="nil"/>
              <w:tr2bl w:val="nil"/>
            </w:tcBorders>
            <w:noWrap w:val="0"/>
            <w:vAlign w:val="center"/>
          </w:tcPr>
          <w:p w14:paraId="5E7337FE">
            <w:pPr>
              <w:keepNext w:val="0"/>
              <w:keepLines w:val="0"/>
              <w:pageBreakBefore w:val="0"/>
              <w:widowControl/>
              <w:kinsoku/>
              <w:wordWrap/>
              <w:overflowPunct/>
              <w:topLinePunct w:val="0"/>
              <w:autoSpaceDN/>
              <w:bidi w:val="0"/>
              <w:snapToGrid/>
              <w:spacing w:line="579" w:lineRule="exact"/>
              <w:textAlignment w:val="auto"/>
              <w:rPr>
                <w:rFonts w:hint="default" w:ascii="宋体" w:hAnsi="宋体" w:eastAsia="方正仿宋_GBK" w:cs="方正仿宋_GBK"/>
                <w:color w:val="000000"/>
                <w:kern w:val="0"/>
                <w:sz w:val="24"/>
                <w:szCs w:val="24"/>
                <w:lang w:val="en-US" w:eastAsia="zh-CN"/>
              </w:rPr>
            </w:pPr>
            <w:r>
              <w:rPr>
                <w:rFonts w:hint="eastAsia" w:ascii="宋体" w:hAnsi="宋体" w:eastAsia="方正仿宋_GBK" w:cs="方正仿宋_GBK"/>
                <w:color w:val="000000"/>
                <w:kern w:val="0"/>
                <w:sz w:val="24"/>
                <w:szCs w:val="24"/>
                <w:lang w:val="en-US" w:eastAsia="zh-CN"/>
              </w:rPr>
              <w:t>02347523503</w:t>
            </w:r>
          </w:p>
        </w:tc>
      </w:tr>
      <w:tr w14:paraId="4B04D5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6" w:type="dxa"/>
          <w:trHeight w:val="469" w:hRule="atLeast"/>
          <w:jc w:val="center"/>
        </w:trPr>
        <w:tc>
          <w:tcPr>
            <w:tcW w:w="847" w:type="dxa"/>
            <w:vMerge w:val="restart"/>
            <w:tcBorders>
              <w:tl2br w:val="nil"/>
              <w:tr2bl w:val="nil"/>
            </w:tcBorders>
            <w:noWrap w:val="0"/>
            <w:textDirection w:val="tbRlV"/>
            <w:vAlign w:val="center"/>
          </w:tcPr>
          <w:p w14:paraId="56A6F3DF">
            <w:pPr>
              <w:keepNext w:val="0"/>
              <w:keepLines w:val="0"/>
              <w:pageBreakBefore w:val="0"/>
              <w:widowControl/>
              <w:kinsoku/>
              <w:wordWrap/>
              <w:overflowPunct/>
              <w:topLinePunct w:val="0"/>
              <w:autoSpaceDN/>
              <w:bidi w:val="0"/>
              <w:snapToGrid/>
              <w:spacing w:line="579" w:lineRule="exact"/>
              <w:ind w:left="113" w:right="113"/>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项目资金（万元）</w:t>
            </w:r>
          </w:p>
        </w:tc>
        <w:tc>
          <w:tcPr>
            <w:tcW w:w="1464" w:type="dxa"/>
            <w:gridSpan w:val="2"/>
            <w:vMerge w:val="restart"/>
            <w:tcBorders>
              <w:tl2br w:val="nil"/>
              <w:tr2bl w:val="nil"/>
            </w:tcBorders>
            <w:noWrap w:val="0"/>
            <w:vAlign w:val="center"/>
          </w:tcPr>
          <w:p w14:paraId="109EE0AA">
            <w:pPr>
              <w:keepNext w:val="0"/>
              <w:keepLines w:val="0"/>
              <w:pageBreakBefore w:val="0"/>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年度总金额</w:t>
            </w:r>
          </w:p>
        </w:tc>
        <w:tc>
          <w:tcPr>
            <w:tcW w:w="1075" w:type="dxa"/>
            <w:gridSpan w:val="2"/>
            <w:tcBorders>
              <w:tl2br w:val="nil"/>
              <w:tr2bl w:val="nil"/>
            </w:tcBorders>
            <w:noWrap w:val="0"/>
            <w:vAlign w:val="center"/>
          </w:tcPr>
          <w:p w14:paraId="49E93BB2">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年初</w:t>
            </w:r>
          </w:p>
          <w:p w14:paraId="3A855DB6">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预算数</w:t>
            </w:r>
          </w:p>
        </w:tc>
        <w:tc>
          <w:tcPr>
            <w:tcW w:w="1162" w:type="dxa"/>
            <w:gridSpan w:val="2"/>
            <w:tcBorders>
              <w:tl2br w:val="nil"/>
              <w:tr2bl w:val="nil"/>
            </w:tcBorders>
            <w:noWrap w:val="0"/>
            <w:vAlign w:val="center"/>
          </w:tcPr>
          <w:p w14:paraId="64DD32DA">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lang w:val="en-US" w:eastAsia="zh-CN"/>
              </w:rPr>
            </w:pPr>
            <w:r>
              <w:rPr>
                <w:rFonts w:hint="eastAsia" w:ascii="宋体" w:hAnsi="宋体" w:eastAsia="方正仿宋_GBK" w:cs="方正仿宋_GBK"/>
                <w:color w:val="000000"/>
                <w:kern w:val="0"/>
                <w:sz w:val="24"/>
                <w:szCs w:val="24"/>
                <w:lang w:val="en-US" w:eastAsia="zh-CN"/>
              </w:rPr>
              <w:t>全年（调整）预算数</w:t>
            </w:r>
          </w:p>
        </w:tc>
        <w:tc>
          <w:tcPr>
            <w:tcW w:w="2316" w:type="dxa"/>
            <w:gridSpan w:val="3"/>
            <w:tcBorders>
              <w:tl2br w:val="nil"/>
              <w:tr2bl w:val="nil"/>
            </w:tcBorders>
            <w:noWrap w:val="0"/>
            <w:vAlign w:val="center"/>
          </w:tcPr>
          <w:p w14:paraId="0744AE86">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全年执行数</w:t>
            </w:r>
          </w:p>
        </w:tc>
        <w:tc>
          <w:tcPr>
            <w:tcW w:w="1092" w:type="dxa"/>
            <w:gridSpan w:val="2"/>
            <w:tcBorders>
              <w:tl2br w:val="nil"/>
              <w:tr2bl w:val="nil"/>
            </w:tcBorders>
            <w:noWrap w:val="0"/>
            <w:vAlign w:val="center"/>
          </w:tcPr>
          <w:p w14:paraId="41D80ED9">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执行率</w:t>
            </w:r>
          </w:p>
          <w:p w14:paraId="5BC827BD">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w:t>
            </w:r>
          </w:p>
        </w:tc>
        <w:tc>
          <w:tcPr>
            <w:tcW w:w="938" w:type="dxa"/>
            <w:gridSpan w:val="2"/>
            <w:tcBorders>
              <w:tl2br w:val="nil"/>
              <w:tr2bl w:val="nil"/>
            </w:tcBorders>
            <w:noWrap w:val="0"/>
            <w:vAlign w:val="center"/>
          </w:tcPr>
          <w:p w14:paraId="54AE788B">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执行率</w:t>
            </w:r>
          </w:p>
          <w:p w14:paraId="0AC3375D">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权重</w:t>
            </w:r>
          </w:p>
        </w:tc>
        <w:tc>
          <w:tcPr>
            <w:tcW w:w="1238" w:type="dxa"/>
            <w:gridSpan w:val="2"/>
            <w:tcBorders>
              <w:tl2br w:val="nil"/>
              <w:tr2bl w:val="nil"/>
            </w:tcBorders>
            <w:noWrap w:val="0"/>
            <w:vAlign w:val="center"/>
          </w:tcPr>
          <w:p w14:paraId="0301D0DB">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执行率</w:t>
            </w:r>
          </w:p>
          <w:p w14:paraId="6F06A651">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得分</w:t>
            </w:r>
          </w:p>
          <w:p w14:paraId="1974F27C">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（分）</w:t>
            </w:r>
          </w:p>
        </w:tc>
      </w:tr>
      <w:tr w14:paraId="69F23D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6" w:type="dxa"/>
          <w:trHeight w:val="469" w:hRule="atLeast"/>
          <w:jc w:val="center"/>
        </w:trPr>
        <w:tc>
          <w:tcPr>
            <w:tcW w:w="847" w:type="dxa"/>
            <w:vMerge w:val="continue"/>
            <w:tcBorders>
              <w:tl2br w:val="nil"/>
              <w:tr2bl w:val="nil"/>
            </w:tcBorders>
            <w:noWrap w:val="0"/>
            <w:vAlign w:val="center"/>
          </w:tcPr>
          <w:p w14:paraId="35813FD9">
            <w:pPr>
              <w:keepNext w:val="0"/>
              <w:keepLines w:val="0"/>
              <w:pageBreakBefore w:val="0"/>
              <w:widowControl/>
              <w:kinsoku/>
              <w:wordWrap/>
              <w:overflowPunct/>
              <w:topLinePunct w:val="0"/>
              <w:autoSpaceDN/>
              <w:bidi w:val="0"/>
              <w:snapToGrid/>
              <w:spacing w:line="579" w:lineRule="exact"/>
              <w:textAlignment w:val="auto"/>
              <w:rPr>
                <w:rFonts w:hint="eastAsia" w:ascii="宋体" w:hAnsi="宋体" w:eastAsia="方正仿宋_GBK" w:cs="方正仿宋_GBK"/>
                <w:color w:val="000000"/>
                <w:kern w:val="0"/>
                <w:sz w:val="24"/>
                <w:szCs w:val="24"/>
              </w:rPr>
            </w:pPr>
          </w:p>
        </w:tc>
        <w:tc>
          <w:tcPr>
            <w:tcW w:w="1464" w:type="dxa"/>
            <w:gridSpan w:val="2"/>
            <w:vMerge w:val="continue"/>
            <w:tcBorders>
              <w:tl2br w:val="nil"/>
              <w:tr2bl w:val="nil"/>
            </w:tcBorders>
            <w:noWrap w:val="0"/>
            <w:vAlign w:val="center"/>
          </w:tcPr>
          <w:p w14:paraId="406CB97D">
            <w:pPr>
              <w:keepNext w:val="0"/>
              <w:keepLines w:val="0"/>
              <w:pageBreakBefore w:val="0"/>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p>
        </w:tc>
        <w:tc>
          <w:tcPr>
            <w:tcW w:w="1075" w:type="dxa"/>
            <w:gridSpan w:val="2"/>
            <w:tcBorders>
              <w:tl2br w:val="nil"/>
              <w:tr2bl w:val="nil"/>
            </w:tcBorders>
            <w:noWrap w:val="0"/>
            <w:vAlign w:val="center"/>
          </w:tcPr>
          <w:p w14:paraId="7A5FFB50">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p>
        </w:tc>
        <w:tc>
          <w:tcPr>
            <w:tcW w:w="1162" w:type="dxa"/>
            <w:gridSpan w:val="2"/>
            <w:tcBorders>
              <w:tl2br w:val="nil"/>
              <w:tr2bl w:val="nil"/>
            </w:tcBorders>
            <w:noWrap w:val="0"/>
            <w:vAlign w:val="center"/>
          </w:tcPr>
          <w:p w14:paraId="55D96462">
            <w:pPr>
              <w:keepNext w:val="0"/>
              <w:keepLines w:val="0"/>
              <w:pageBreakBefore w:val="0"/>
              <w:widowControl/>
              <w:kinsoku/>
              <w:wordWrap/>
              <w:overflowPunct/>
              <w:topLinePunct w:val="0"/>
              <w:autoSpaceDN/>
              <w:bidi w:val="0"/>
              <w:snapToGrid/>
              <w:spacing w:line="579" w:lineRule="exact"/>
              <w:jc w:val="center"/>
              <w:textAlignment w:val="auto"/>
              <w:rPr>
                <w:rFonts w:hint="default" w:ascii="宋体" w:hAnsi="宋体" w:eastAsia="方正仿宋_GBK" w:cs="方正仿宋_GBK"/>
                <w:color w:val="000000"/>
                <w:kern w:val="0"/>
                <w:sz w:val="24"/>
                <w:szCs w:val="24"/>
                <w:lang w:val="en-US" w:eastAsia="zh-CN"/>
              </w:rPr>
            </w:pPr>
            <w:r>
              <w:rPr>
                <w:rFonts w:hint="eastAsia" w:ascii="宋体" w:hAnsi="宋体" w:eastAsia="方正仿宋_GBK" w:cs="方正仿宋_GBK"/>
                <w:color w:val="000000"/>
                <w:kern w:val="0"/>
                <w:sz w:val="24"/>
                <w:szCs w:val="24"/>
                <w:lang w:val="en-US" w:eastAsia="zh-CN"/>
              </w:rPr>
              <w:t>250000</w:t>
            </w:r>
          </w:p>
        </w:tc>
        <w:tc>
          <w:tcPr>
            <w:tcW w:w="2316" w:type="dxa"/>
            <w:gridSpan w:val="3"/>
            <w:tcBorders>
              <w:tl2br w:val="nil"/>
              <w:tr2bl w:val="nil"/>
            </w:tcBorders>
            <w:noWrap w:val="0"/>
            <w:vAlign w:val="center"/>
          </w:tcPr>
          <w:p w14:paraId="0BED5782">
            <w:pPr>
              <w:keepNext w:val="0"/>
              <w:keepLines w:val="0"/>
              <w:pageBreakBefore w:val="0"/>
              <w:widowControl/>
              <w:kinsoku/>
              <w:wordWrap/>
              <w:overflowPunct/>
              <w:topLinePunct w:val="0"/>
              <w:autoSpaceDN/>
              <w:bidi w:val="0"/>
              <w:snapToGrid/>
              <w:spacing w:line="579" w:lineRule="exact"/>
              <w:jc w:val="center"/>
              <w:textAlignment w:val="auto"/>
              <w:rPr>
                <w:rFonts w:hint="default" w:ascii="宋体" w:hAnsi="宋体" w:eastAsia="方正仿宋_GBK" w:cs="方正仿宋_GBK"/>
                <w:color w:val="000000"/>
                <w:kern w:val="0"/>
                <w:sz w:val="24"/>
                <w:szCs w:val="24"/>
                <w:lang w:val="en-US" w:eastAsia="zh-CN"/>
              </w:rPr>
            </w:pPr>
            <w:r>
              <w:rPr>
                <w:rFonts w:hint="eastAsia" w:ascii="宋体" w:hAnsi="宋体" w:eastAsia="方正仿宋_GBK" w:cs="方正仿宋_GBK"/>
                <w:color w:val="000000"/>
                <w:kern w:val="0"/>
                <w:sz w:val="24"/>
                <w:szCs w:val="24"/>
                <w:lang w:val="en-US" w:eastAsia="zh-CN"/>
              </w:rPr>
              <w:t>250000</w:t>
            </w:r>
          </w:p>
        </w:tc>
        <w:tc>
          <w:tcPr>
            <w:tcW w:w="1092" w:type="dxa"/>
            <w:gridSpan w:val="2"/>
            <w:tcBorders>
              <w:tl2br w:val="nil"/>
              <w:tr2bl w:val="nil"/>
            </w:tcBorders>
            <w:noWrap w:val="0"/>
            <w:vAlign w:val="center"/>
          </w:tcPr>
          <w:p w14:paraId="67F15A82">
            <w:pPr>
              <w:keepNext w:val="0"/>
              <w:keepLines w:val="0"/>
              <w:pageBreakBefore w:val="0"/>
              <w:widowControl/>
              <w:kinsoku/>
              <w:wordWrap/>
              <w:overflowPunct/>
              <w:topLinePunct w:val="0"/>
              <w:autoSpaceDN/>
              <w:bidi w:val="0"/>
              <w:snapToGrid/>
              <w:spacing w:line="579" w:lineRule="exact"/>
              <w:jc w:val="center"/>
              <w:textAlignment w:val="auto"/>
              <w:rPr>
                <w:rFonts w:hint="default" w:ascii="宋体" w:hAnsi="宋体" w:eastAsia="方正仿宋_GBK" w:cs="方正仿宋_GBK"/>
                <w:color w:val="000000"/>
                <w:kern w:val="0"/>
                <w:sz w:val="24"/>
                <w:szCs w:val="24"/>
                <w:lang w:val="en-US" w:eastAsia="zh-CN"/>
              </w:rPr>
            </w:pPr>
            <w:r>
              <w:rPr>
                <w:rFonts w:hint="eastAsia" w:ascii="宋体" w:hAnsi="宋体" w:eastAsia="方正仿宋_GBK" w:cs="方正仿宋_GBK"/>
                <w:color w:val="000000"/>
                <w:kern w:val="0"/>
                <w:sz w:val="24"/>
                <w:szCs w:val="24"/>
                <w:lang w:val="en-US" w:eastAsia="zh-CN"/>
              </w:rPr>
              <w:t>100</w:t>
            </w:r>
          </w:p>
        </w:tc>
        <w:tc>
          <w:tcPr>
            <w:tcW w:w="938" w:type="dxa"/>
            <w:gridSpan w:val="2"/>
            <w:tcBorders>
              <w:tl2br w:val="nil"/>
              <w:tr2bl w:val="nil"/>
            </w:tcBorders>
            <w:noWrap w:val="0"/>
            <w:vAlign w:val="center"/>
          </w:tcPr>
          <w:p w14:paraId="23AA1000">
            <w:pPr>
              <w:keepNext w:val="0"/>
              <w:keepLines w:val="0"/>
              <w:pageBreakBefore w:val="0"/>
              <w:widowControl/>
              <w:kinsoku/>
              <w:wordWrap/>
              <w:overflowPunct/>
              <w:topLinePunct w:val="0"/>
              <w:autoSpaceDN/>
              <w:bidi w:val="0"/>
              <w:snapToGrid/>
              <w:spacing w:line="579" w:lineRule="exact"/>
              <w:jc w:val="center"/>
              <w:textAlignment w:val="auto"/>
              <w:rPr>
                <w:rFonts w:hint="default" w:ascii="宋体" w:hAnsi="宋体" w:eastAsia="方正仿宋_GBK" w:cs="方正仿宋_GBK"/>
                <w:kern w:val="0"/>
                <w:sz w:val="24"/>
                <w:szCs w:val="24"/>
                <w:lang w:val="en-US" w:eastAsia="zh-CN"/>
              </w:rPr>
            </w:pPr>
            <w:r>
              <w:rPr>
                <w:rFonts w:hint="eastAsia" w:ascii="宋体" w:hAnsi="宋体" w:eastAsia="方正仿宋_GBK" w:cs="方正仿宋_GBK"/>
                <w:kern w:val="0"/>
                <w:sz w:val="24"/>
                <w:szCs w:val="24"/>
                <w:lang w:val="en-US" w:eastAsia="zh-CN"/>
              </w:rPr>
              <w:t>10</w:t>
            </w:r>
          </w:p>
        </w:tc>
        <w:tc>
          <w:tcPr>
            <w:tcW w:w="1238" w:type="dxa"/>
            <w:gridSpan w:val="2"/>
            <w:tcBorders>
              <w:tl2br w:val="nil"/>
              <w:tr2bl w:val="nil"/>
            </w:tcBorders>
            <w:noWrap w:val="0"/>
            <w:vAlign w:val="center"/>
          </w:tcPr>
          <w:p w14:paraId="44D5FA77">
            <w:pPr>
              <w:keepNext w:val="0"/>
              <w:keepLines w:val="0"/>
              <w:pageBreakBefore w:val="0"/>
              <w:widowControl/>
              <w:kinsoku/>
              <w:wordWrap/>
              <w:overflowPunct/>
              <w:topLinePunct w:val="0"/>
              <w:autoSpaceDN/>
              <w:bidi w:val="0"/>
              <w:snapToGrid/>
              <w:spacing w:line="579" w:lineRule="exact"/>
              <w:jc w:val="center"/>
              <w:textAlignment w:val="auto"/>
              <w:rPr>
                <w:rFonts w:hint="default" w:ascii="宋体" w:hAnsi="宋体" w:eastAsia="方正仿宋_GBK" w:cs="方正仿宋_GBK"/>
                <w:color w:val="000000"/>
                <w:kern w:val="0"/>
                <w:sz w:val="24"/>
                <w:szCs w:val="24"/>
                <w:lang w:val="en-US" w:eastAsia="zh-CN"/>
              </w:rPr>
            </w:pPr>
            <w:r>
              <w:rPr>
                <w:rFonts w:hint="eastAsia" w:ascii="宋体" w:hAnsi="宋体" w:eastAsia="方正仿宋_GBK" w:cs="方正仿宋_GBK"/>
                <w:color w:val="000000"/>
                <w:kern w:val="0"/>
                <w:sz w:val="24"/>
                <w:szCs w:val="24"/>
                <w:lang w:val="en-US" w:eastAsia="zh-CN"/>
              </w:rPr>
              <w:t>10</w:t>
            </w:r>
          </w:p>
        </w:tc>
      </w:tr>
      <w:tr w14:paraId="58ADC0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6" w:type="dxa"/>
          <w:trHeight w:val="1088" w:hRule="atLeast"/>
          <w:jc w:val="center"/>
        </w:trPr>
        <w:tc>
          <w:tcPr>
            <w:tcW w:w="847" w:type="dxa"/>
            <w:vMerge w:val="continue"/>
            <w:tcBorders>
              <w:tl2br w:val="nil"/>
              <w:tr2bl w:val="nil"/>
            </w:tcBorders>
            <w:noWrap w:val="0"/>
            <w:vAlign w:val="center"/>
          </w:tcPr>
          <w:p w14:paraId="3B449728">
            <w:pPr>
              <w:keepNext w:val="0"/>
              <w:keepLines w:val="0"/>
              <w:pageBreakBefore w:val="0"/>
              <w:widowControl/>
              <w:kinsoku/>
              <w:wordWrap/>
              <w:overflowPunct/>
              <w:topLinePunct w:val="0"/>
              <w:autoSpaceDN/>
              <w:bidi w:val="0"/>
              <w:snapToGrid/>
              <w:spacing w:line="579" w:lineRule="exact"/>
              <w:textAlignment w:val="auto"/>
              <w:rPr>
                <w:rFonts w:hint="eastAsia" w:ascii="宋体" w:hAnsi="宋体" w:eastAsia="方正仿宋_GBK" w:cs="方正仿宋_GBK"/>
                <w:color w:val="000000"/>
                <w:kern w:val="0"/>
                <w:sz w:val="24"/>
                <w:szCs w:val="24"/>
              </w:rPr>
            </w:pPr>
          </w:p>
        </w:tc>
        <w:tc>
          <w:tcPr>
            <w:tcW w:w="1464" w:type="dxa"/>
            <w:gridSpan w:val="2"/>
            <w:tcBorders>
              <w:tl2br w:val="nil"/>
              <w:tr2bl w:val="nil"/>
            </w:tcBorders>
            <w:noWrap w:val="0"/>
            <w:vAlign w:val="center"/>
          </w:tcPr>
          <w:p w14:paraId="07ABE849">
            <w:pPr>
              <w:keepNext w:val="0"/>
              <w:keepLines w:val="0"/>
              <w:pageBreakBefore w:val="0"/>
              <w:widowControl/>
              <w:kinsoku/>
              <w:wordWrap/>
              <w:overflowPunct/>
              <w:topLinePunct w:val="0"/>
              <w:autoSpaceDN/>
              <w:bidi w:val="0"/>
              <w:snapToGrid/>
              <w:spacing w:line="579" w:lineRule="exact"/>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其中：</w:t>
            </w:r>
          </w:p>
          <w:p w14:paraId="35668F63">
            <w:pPr>
              <w:keepNext w:val="0"/>
              <w:keepLines w:val="0"/>
              <w:pageBreakBefore w:val="0"/>
              <w:widowControl/>
              <w:kinsoku/>
              <w:wordWrap/>
              <w:overflowPunct/>
              <w:topLinePunct w:val="0"/>
              <w:autoSpaceDN/>
              <w:bidi w:val="0"/>
              <w:snapToGrid/>
              <w:spacing w:line="579" w:lineRule="exact"/>
              <w:textAlignment w:val="auto"/>
              <w:rPr>
                <w:rFonts w:hint="eastAsia" w:ascii="宋体" w:hAnsi="宋体" w:eastAsia="方正仿宋_GBK" w:cs="方正仿宋_GBK"/>
                <w:color w:val="000000"/>
                <w:kern w:val="0"/>
                <w:sz w:val="24"/>
                <w:szCs w:val="24"/>
                <w:lang w:val="en-US" w:eastAsia="zh-CN"/>
              </w:rPr>
            </w:pPr>
            <w:r>
              <w:rPr>
                <w:rFonts w:hint="eastAsia" w:ascii="宋体" w:hAnsi="宋体" w:eastAsia="方正仿宋_GBK" w:cs="方正仿宋_GBK"/>
                <w:color w:val="000000"/>
                <w:kern w:val="0"/>
                <w:sz w:val="24"/>
                <w:szCs w:val="24"/>
                <w:lang w:val="en-US" w:eastAsia="zh-CN"/>
              </w:rPr>
              <w:t>财政拨款</w:t>
            </w:r>
          </w:p>
        </w:tc>
        <w:tc>
          <w:tcPr>
            <w:tcW w:w="1075" w:type="dxa"/>
            <w:gridSpan w:val="2"/>
            <w:tcBorders>
              <w:tl2br w:val="nil"/>
              <w:tr2bl w:val="nil"/>
            </w:tcBorders>
            <w:noWrap w:val="0"/>
            <w:vAlign w:val="center"/>
          </w:tcPr>
          <w:p w14:paraId="5D6DA6BF">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p>
        </w:tc>
        <w:tc>
          <w:tcPr>
            <w:tcW w:w="1162" w:type="dxa"/>
            <w:gridSpan w:val="2"/>
            <w:tcBorders>
              <w:tl2br w:val="nil"/>
              <w:tr2bl w:val="nil"/>
            </w:tcBorders>
            <w:noWrap w:val="0"/>
            <w:vAlign w:val="center"/>
          </w:tcPr>
          <w:p w14:paraId="0ABA325C">
            <w:pPr>
              <w:keepNext w:val="0"/>
              <w:keepLines w:val="0"/>
              <w:pageBreakBefore w:val="0"/>
              <w:widowControl/>
              <w:kinsoku/>
              <w:wordWrap/>
              <w:overflowPunct/>
              <w:topLinePunct w:val="0"/>
              <w:autoSpaceDN/>
              <w:bidi w:val="0"/>
              <w:snapToGrid/>
              <w:spacing w:line="579" w:lineRule="exact"/>
              <w:jc w:val="center"/>
              <w:textAlignment w:val="auto"/>
              <w:rPr>
                <w:rFonts w:hint="default" w:ascii="宋体" w:hAnsi="宋体" w:eastAsia="方正仿宋_GBK" w:cs="方正仿宋_GBK"/>
                <w:color w:val="000000"/>
                <w:kern w:val="0"/>
                <w:sz w:val="24"/>
                <w:szCs w:val="24"/>
                <w:lang w:val="en-US" w:eastAsia="zh-CN"/>
              </w:rPr>
            </w:pPr>
            <w:r>
              <w:rPr>
                <w:rFonts w:hint="eastAsia" w:ascii="宋体" w:hAnsi="宋体" w:eastAsia="方正仿宋_GBK" w:cs="方正仿宋_GBK"/>
                <w:color w:val="000000"/>
                <w:kern w:val="0"/>
                <w:sz w:val="24"/>
                <w:szCs w:val="24"/>
                <w:lang w:val="en-US" w:eastAsia="zh-CN"/>
              </w:rPr>
              <w:t>250000</w:t>
            </w:r>
          </w:p>
        </w:tc>
        <w:tc>
          <w:tcPr>
            <w:tcW w:w="2316" w:type="dxa"/>
            <w:gridSpan w:val="3"/>
            <w:tcBorders>
              <w:tl2br w:val="nil"/>
              <w:tr2bl w:val="nil"/>
            </w:tcBorders>
            <w:noWrap w:val="0"/>
            <w:vAlign w:val="center"/>
          </w:tcPr>
          <w:p w14:paraId="58822BE2">
            <w:pPr>
              <w:keepNext w:val="0"/>
              <w:keepLines w:val="0"/>
              <w:pageBreakBefore w:val="0"/>
              <w:widowControl/>
              <w:kinsoku/>
              <w:wordWrap/>
              <w:overflowPunct/>
              <w:topLinePunct w:val="0"/>
              <w:autoSpaceDN/>
              <w:bidi w:val="0"/>
              <w:snapToGrid/>
              <w:spacing w:line="579" w:lineRule="exact"/>
              <w:jc w:val="center"/>
              <w:textAlignment w:val="auto"/>
              <w:rPr>
                <w:rFonts w:hint="default" w:ascii="宋体" w:hAnsi="宋体" w:eastAsia="方正仿宋_GBK" w:cs="方正仿宋_GBK"/>
                <w:color w:val="000000"/>
                <w:kern w:val="0"/>
                <w:sz w:val="24"/>
                <w:szCs w:val="24"/>
                <w:lang w:val="en-US" w:eastAsia="zh-CN"/>
              </w:rPr>
            </w:pPr>
            <w:r>
              <w:rPr>
                <w:rFonts w:hint="eastAsia" w:ascii="宋体" w:hAnsi="宋体" w:eastAsia="方正仿宋_GBK" w:cs="方正仿宋_GBK"/>
                <w:color w:val="000000"/>
                <w:kern w:val="0"/>
                <w:sz w:val="24"/>
                <w:szCs w:val="24"/>
                <w:lang w:val="en-US" w:eastAsia="zh-CN"/>
              </w:rPr>
              <w:t>250000</w:t>
            </w:r>
          </w:p>
        </w:tc>
        <w:tc>
          <w:tcPr>
            <w:tcW w:w="1092" w:type="dxa"/>
            <w:gridSpan w:val="2"/>
            <w:tcBorders>
              <w:tl2br w:val="nil"/>
              <w:tr2bl w:val="nil"/>
            </w:tcBorders>
            <w:noWrap w:val="0"/>
            <w:vAlign w:val="center"/>
          </w:tcPr>
          <w:p w14:paraId="59EB5882">
            <w:pPr>
              <w:keepNext w:val="0"/>
              <w:keepLines w:val="0"/>
              <w:pageBreakBefore w:val="0"/>
              <w:widowControl/>
              <w:kinsoku/>
              <w:wordWrap/>
              <w:overflowPunct/>
              <w:topLinePunct w:val="0"/>
              <w:autoSpaceDN/>
              <w:bidi w:val="0"/>
              <w:snapToGrid/>
              <w:spacing w:line="579" w:lineRule="exact"/>
              <w:jc w:val="center"/>
              <w:textAlignment w:val="auto"/>
              <w:rPr>
                <w:rFonts w:hint="default" w:ascii="宋体" w:hAnsi="宋体" w:eastAsia="方正仿宋_GBK" w:cs="方正仿宋_GBK"/>
                <w:color w:val="000000"/>
                <w:kern w:val="0"/>
                <w:sz w:val="24"/>
                <w:szCs w:val="24"/>
                <w:lang w:val="en-US" w:eastAsia="zh-CN"/>
              </w:rPr>
            </w:pPr>
            <w:r>
              <w:rPr>
                <w:rFonts w:hint="eastAsia" w:ascii="宋体" w:hAnsi="宋体" w:eastAsia="方正仿宋_GBK" w:cs="方正仿宋_GBK"/>
                <w:color w:val="000000"/>
                <w:kern w:val="0"/>
                <w:sz w:val="24"/>
                <w:szCs w:val="24"/>
                <w:lang w:val="en-US" w:eastAsia="zh-CN"/>
              </w:rPr>
              <w:t>100</w:t>
            </w:r>
          </w:p>
        </w:tc>
        <w:tc>
          <w:tcPr>
            <w:tcW w:w="938" w:type="dxa"/>
            <w:gridSpan w:val="2"/>
            <w:tcBorders>
              <w:tl2br w:val="nil"/>
              <w:tr2bl w:val="nil"/>
            </w:tcBorders>
            <w:noWrap w:val="0"/>
            <w:vAlign w:val="center"/>
          </w:tcPr>
          <w:p w14:paraId="63C701F2">
            <w:pPr>
              <w:keepNext w:val="0"/>
              <w:keepLines w:val="0"/>
              <w:pageBreakBefore w:val="0"/>
              <w:widowControl/>
              <w:kinsoku/>
              <w:wordWrap/>
              <w:overflowPunct/>
              <w:topLinePunct w:val="0"/>
              <w:autoSpaceDN/>
              <w:bidi w:val="0"/>
              <w:snapToGrid/>
              <w:spacing w:line="579" w:lineRule="exact"/>
              <w:jc w:val="center"/>
              <w:textAlignment w:val="auto"/>
              <w:rPr>
                <w:rFonts w:hint="default" w:ascii="宋体" w:hAnsi="宋体" w:eastAsia="方正仿宋_GBK" w:cs="方正仿宋_GBK"/>
                <w:color w:val="000000"/>
                <w:kern w:val="0"/>
                <w:sz w:val="24"/>
                <w:szCs w:val="24"/>
                <w:lang w:val="en-US" w:eastAsia="zh-CN"/>
              </w:rPr>
            </w:pPr>
            <w:r>
              <w:rPr>
                <w:rFonts w:hint="eastAsia" w:ascii="宋体" w:hAnsi="宋体" w:eastAsia="方正仿宋_GBK" w:cs="方正仿宋_GBK"/>
                <w:color w:val="000000"/>
                <w:kern w:val="0"/>
                <w:sz w:val="24"/>
                <w:szCs w:val="24"/>
                <w:lang w:val="en-US" w:eastAsia="zh-CN"/>
              </w:rPr>
              <w:t>10</w:t>
            </w:r>
          </w:p>
        </w:tc>
        <w:tc>
          <w:tcPr>
            <w:tcW w:w="1238" w:type="dxa"/>
            <w:gridSpan w:val="2"/>
            <w:tcBorders>
              <w:tl2br w:val="nil"/>
              <w:tr2bl w:val="nil"/>
            </w:tcBorders>
            <w:noWrap w:val="0"/>
            <w:vAlign w:val="center"/>
          </w:tcPr>
          <w:p w14:paraId="1E56C84F">
            <w:pPr>
              <w:keepNext w:val="0"/>
              <w:keepLines w:val="0"/>
              <w:pageBreakBefore w:val="0"/>
              <w:widowControl/>
              <w:kinsoku/>
              <w:wordWrap/>
              <w:overflowPunct/>
              <w:topLinePunct w:val="0"/>
              <w:autoSpaceDN/>
              <w:bidi w:val="0"/>
              <w:snapToGrid/>
              <w:spacing w:line="579" w:lineRule="exact"/>
              <w:jc w:val="center"/>
              <w:textAlignment w:val="auto"/>
              <w:rPr>
                <w:rFonts w:hint="default" w:ascii="宋体" w:hAnsi="宋体" w:eastAsia="方正仿宋_GBK" w:cs="方正仿宋_GBK"/>
                <w:color w:val="000000"/>
                <w:kern w:val="0"/>
                <w:sz w:val="24"/>
                <w:szCs w:val="24"/>
                <w:lang w:val="en-US" w:eastAsia="zh-CN"/>
              </w:rPr>
            </w:pPr>
            <w:r>
              <w:rPr>
                <w:rFonts w:hint="eastAsia" w:ascii="宋体" w:hAnsi="宋体" w:eastAsia="方正仿宋_GBK" w:cs="方正仿宋_GBK"/>
                <w:color w:val="000000"/>
                <w:kern w:val="0"/>
                <w:sz w:val="24"/>
                <w:szCs w:val="24"/>
                <w:lang w:val="en-US" w:eastAsia="zh-CN"/>
              </w:rPr>
              <w:t>10</w:t>
            </w:r>
          </w:p>
        </w:tc>
      </w:tr>
      <w:tr w14:paraId="1DD910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6" w:type="dxa"/>
          <w:trHeight w:val="469" w:hRule="atLeast"/>
          <w:jc w:val="center"/>
        </w:trPr>
        <w:tc>
          <w:tcPr>
            <w:tcW w:w="847" w:type="dxa"/>
            <w:vMerge w:val="restart"/>
            <w:tcBorders>
              <w:tl2br w:val="nil"/>
              <w:tr2bl w:val="nil"/>
            </w:tcBorders>
            <w:noWrap w:val="0"/>
            <w:vAlign w:val="center"/>
          </w:tcPr>
          <w:p w14:paraId="405AA91B">
            <w:pPr>
              <w:keepNext w:val="0"/>
              <w:keepLines w:val="0"/>
              <w:pageBreakBefore w:val="0"/>
              <w:widowControl/>
              <w:kinsoku/>
              <w:wordWrap/>
              <w:overflowPunct/>
              <w:topLinePunct w:val="0"/>
              <w:autoSpaceDN/>
              <w:bidi w:val="0"/>
              <w:snapToGrid/>
              <w:spacing w:line="579" w:lineRule="exact"/>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当年绩效目标</w:t>
            </w:r>
          </w:p>
        </w:tc>
        <w:tc>
          <w:tcPr>
            <w:tcW w:w="3017" w:type="dxa"/>
            <w:gridSpan w:val="5"/>
            <w:tcBorders>
              <w:tl2br w:val="nil"/>
              <w:tr2bl w:val="nil"/>
            </w:tcBorders>
            <w:noWrap w:val="0"/>
            <w:vAlign w:val="center"/>
          </w:tcPr>
          <w:p w14:paraId="50E91D62">
            <w:pPr>
              <w:keepNext w:val="0"/>
              <w:keepLines w:val="0"/>
              <w:pageBreakBefore w:val="0"/>
              <w:widowControl/>
              <w:kinsoku/>
              <w:wordWrap/>
              <w:overflowPunct/>
              <w:topLinePunct w:val="0"/>
              <w:autoSpaceDN/>
              <w:bidi w:val="0"/>
              <w:snapToGrid/>
              <w:spacing w:line="579" w:lineRule="exact"/>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年初绩效目标</w:t>
            </w:r>
          </w:p>
        </w:tc>
        <w:tc>
          <w:tcPr>
            <w:tcW w:w="3000" w:type="dxa"/>
            <w:gridSpan w:val="4"/>
            <w:tcBorders>
              <w:tl2br w:val="nil"/>
              <w:tr2bl w:val="nil"/>
            </w:tcBorders>
            <w:noWrap w:val="0"/>
            <w:vAlign w:val="center"/>
          </w:tcPr>
          <w:p w14:paraId="70652805">
            <w:pPr>
              <w:keepNext w:val="0"/>
              <w:keepLines w:val="0"/>
              <w:pageBreakBefore w:val="0"/>
              <w:widowControl/>
              <w:kinsoku/>
              <w:wordWrap/>
              <w:overflowPunct/>
              <w:topLinePunct w:val="0"/>
              <w:autoSpaceDN/>
              <w:bidi w:val="0"/>
              <w:snapToGrid/>
              <w:spacing w:line="579" w:lineRule="exact"/>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全年（调整）绩效目标</w:t>
            </w:r>
          </w:p>
        </w:tc>
        <w:tc>
          <w:tcPr>
            <w:tcW w:w="3268" w:type="dxa"/>
            <w:gridSpan w:val="6"/>
            <w:tcBorders>
              <w:tl2br w:val="nil"/>
              <w:tr2bl w:val="nil"/>
            </w:tcBorders>
            <w:noWrap w:val="0"/>
            <w:vAlign w:val="center"/>
          </w:tcPr>
          <w:p w14:paraId="2FB5A65A">
            <w:pPr>
              <w:keepNext w:val="0"/>
              <w:keepLines w:val="0"/>
              <w:pageBreakBefore w:val="0"/>
              <w:widowControl/>
              <w:kinsoku/>
              <w:wordWrap/>
              <w:overflowPunct/>
              <w:topLinePunct w:val="0"/>
              <w:autoSpaceDN/>
              <w:bidi w:val="0"/>
              <w:snapToGrid/>
              <w:spacing w:line="579" w:lineRule="exact"/>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全年目标实际完成情况</w:t>
            </w:r>
          </w:p>
        </w:tc>
      </w:tr>
      <w:tr w14:paraId="3513C7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6" w:type="dxa"/>
          <w:trHeight w:val="1055" w:hRule="atLeast"/>
          <w:jc w:val="center"/>
        </w:trPr>
        <w:tc>
          <w:tcPr>
            <w:tcW w:w="847" w:type="dxa"/>
            <w:vMerge w:val="continue"/>
            <w:tcBorders>
              <w:tl2br w:val="nil"/>
              <w:tr2bl w:val="nil"/>
            </w:tcBorders>
            <w:noWrap w:val="0"/>
            <w:vAlign w:val="center"/>
          </w:tcPr>
          <w:p w14:paraId="78A084CF">
            <w:pPr>
              <w:keepNext w:val="0"/>
              <w:keepLines w:val="0"/>
              <w:pageBreakBefore w:val="0"/>
              <w:widowControl/>
              <w:kinsoku/>
              <w:wordWrap/>
              <w:overflowPunct/>
              <w:topLinePunct w:val="0"/>
              <w:autoSpaceDN/>
              <w:bidi w:val="0"/>
              <w:snapToGrid/>
              <w:spacing w:line="579" w:lineRule="exact"/>
              <w:textAlignment w:val="auto"/>
              <w:rPr>
                <w:rFonts w:hint="eastAsia" w:ascii="宋体" w:hAnsi="宋体" w:eastAsia="方正仿宋_GBK" w:cs="方正仿宋_GBK"/>
                <w:color w:val="000000"/>
                <w:kern w:val="0"/>
                <w:sz w:val="24"/>
                <w:szCs w:val="24"/>
              </w:rPr>
            </w:pPr>
          </w:p>
        </w:tc>
        <w:tc>
          <w:tcPr>
            <w:tcW w:w="3017" w:type="dxa"/>
            <w:gridSpan w:val="5"/>
            <w:tcBorders>
              <w:tl2br w:val="nil"/>
              <w:tr2bl w:val="nil"/>
            </w:tcBorders>
            <w:noWrap w:val="0"/>
            <w:vAlign w:val="center"/>
          </w:tcPr>
          <w:p w14:paraId="1CA7C6D1">
            <w:pPr>
              <w:keepNext w:val="0"/>
              <w:keepLines w:val="0"/>
              <w:pageBreakBefore w:val="0"/>
              <w:widowControl/>
              <w:kinsoku/>
              <w:wordWrap/>
              <w:overflowPunct/>
              <w:topLinePunct w:val="0"/>
              <w:autoSpaceDN/>
              <w:bidi w:val="0"/>
              <w:snapToGrid/>
              <w:spacing w:line="579" w:lineRule="exact"/>
              <w:textAlignment w:val="auto"/>
              <w:rPr>
                <w:rFonts w:hint="default" w:ascii="宋体" w:hAnsi="宋体" w:eastAsia="方正仿宋_GBK" w:cs="方正仿宋_GBK"/>
                <w:color w:val="000000"/>
                <w:kern w:val="0"/>
                <w:sz w:val="24"/>
                <w:szCs w:val="24"/>
                <w:lang w:val="en-US" w:eastAsia="zh-CN"/>
              </w:rPr>
            </w:pPr>
          </w:p>
        </w:tc>
        <w:tc>
          <w:tcPr>
            <w:tcW w:w="3000" w:type="dxa"/>
            <w:gridSpan w:val="4"/>
            <w:tcBorders>
              <w:tl2br w:val="nil"/>
              <w:tr2bl w:val="nil"/>
            </w:tcBorders>
            <w:noWrap w:val="0"/>
            <w:vAlign w:val="center"/>
          </w:tcPr>
          <w:p w14:paraId="506AC734">
            <w:pPr>
              <w:keepNext w:val="0"/>
              <w:keepLines w:val="0"/>
              <w:pageBreakBefore w:val="0"/>
              <w:widowControl/>
              <w:kinsoku/>
              <w:wordWrap/>
              <w:overflowPunct/>
              <w:topLinePunct w:val="0"/>
              <w:autoSpaceDN/>
              <w:bidi w:val="0"/>
              <w:snapToGrid/>
              <w:spacing w:line="579" w:lineRule="exact"/>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lang w:val="en-US" w:eastAsia="zh-CN"/>
              </w:rPr>
              <w:t>解决我区水上污染接收转运能力不足的问题，保证我区水上污染物能够及时转运。</w:t>
            </w:r>
          </w:p>
        </w:tc>
        <w:tc>
          <w:tcPr>
            <w:tcW w:w="3268" w:type="dxa"/>
            <w:gridSpan w:val="6"/>
            <w:tcBorders>
              <w:tl2br w:val="nil"/>
              <w:tr2bl w:val="nil"/>
            </w:tcBorders>
            <w:noWrap w:val="0"/>
            <w:vAlign w:val="center"/>
          </w:tcPr>
          <w:p w14:paraId="483EE38A">
            <w:pPr>
              <w:keepNext w:val="0"/>
              <w:keepLines w:val="0"/>
              <w:pageBreakBefore w:val="0"/>
              <w:widowControl/>
              <w:kinsoku/>
              <w:wordWrap/>
              <w:overflowPunct/>
              <w:topLinePunct w:val="0"/>
              <w:autoSpaceDN/>
              <w:bidi w:val="0"/>
              <w:snapToGrid/>
              <w:spacing w:line="579" w:lineRule="exact"/>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lang w:val="en-US" w:eastAsia="zh-CN"/>
              </w:rPr>
              <w:t>解决了我区水上污染接收转运能力不足的问题，我区水上污染物得到及时转运。</w:t>
            </w:r>
          </w:p>
        </w:tc>
      </w:tr>
      <w:tr w14:paraId="11C439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847" w:type="dxa"/>
            <w:vMerge w:val="restart"/>
            <w:tcBorders>
              <w:tl2br w:val="nil"/>
              <w:tr2bl w:val="nil"/>
            </w:tcBorders>
            <w:noWrap w:val="0"/>
            <w:textDirection w:val="tbRlV"/>
            <w:vAlign w:val="center"/>
          </w:tcPr>
          <w:p w14:paraId="2EB22783">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绩效指标</w:t>
            </w:r>
          </w:p>
        </w:tc>
        <w:tc>
          <w:tcPr>
            <w:tcW w:w="756" w:type="dxa"/>
            <w:tcBorders>
              <w:tl2br w:val="nil"/>
              <w:tr2bl w:val="nil"/>
            </w:tcBorders>
            <w:noWrap w:val="0"/>
            <w:vAlign w:val="center"/>
          </w:tcPr>
          <w:p w14:paraId="03AA5437">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指标</w:t>
            </w:r>
          </w:p>
          <w:p w14:paraId="7AADD28F">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名称</w:t>
            </w:r>
          </w:p>
        </w:tc>
        <w:tc>
          <w:tcPr>
            <w:tcW w:w="708" w:type="dxa"/>
            <w:tcBorders>
              <w:tl2br w:val="nil"/>
              <w:tr2bl w:val="nil"/>
            </w:tcBorders>
            <w:noWrap w:val="0"/>
            <w:vAlign w:val="center"/>
          </w:tcPr>
          <w:p w14:paraId="4643F840">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计量</w:t>
            </w:r>
          </w:p>
          <w:p w14:paraId="1D1BB2F6">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单位</w:t>
            </w:r>
          </w:p>
        </w:tc>
        <w:tc>
          <w:tcPr>
            <w:tcW w:w="709" w:type="dxa"/>
            <w:tcBorders>
              <w:tl2br w:val="nil"/>
              <w:tr2bl w:val="nil"/>
            </w:tcBorders>
            <w:noWrap w:val="0"/>
            <w:vAlign w:val="center"/>
          </w:tcPr>
          <w:p w14:paraId="14747079">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指标</w:t>
            </w:r>
          </w:p>
          <w:p w14:paraId="24B2240A">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性质</w:t>
            </w:r>
          </w:p>
        </w:tc>
        <w:tc>
          <w:tcPr>
            <w:tcW w:w="844" w:type="dxa"/>
            <w:gridSpan w:val="2"/>
            <w:tcBorders>
              <w:tl2br w:val="nil"/>
              <w:tr2bl w:val="nil"/>
            </w:tcBorders>
            <w:noWrap w:val="0"/>
            <w:vAlign w:val="center"/>
          </w:tcPr>
          <w:p w14:paraId="33BCD9DE">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指标</w:t>
            </w:r>
          </w:p>
          <w:p w14:paraId="5E7C4CD2">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值</w:t>
            </w:r>
          </w:p>
        </w:tc>
        <w:tc>
          <w:tcPr>
            <w:tcW w:w="972" w:type="dxa"/>
            <w:gridSpan w:val="2"/>
            <w:tcBorders>
              <w:tl2br w:val="nil"/>
              <w:tr2bl w:val="nil"/>
            </w:tcBorders>
            <w:noWrap w:val="0"/>
            <w:vAlign w:val="center"/>
          </w:tcPr>
          <w:p w14:paraId="030FC24B">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全年</w:t>
            </w:r>
          </w:p>
          <w:p w14:paraId="104895AA">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完成值</w:t>
            </w:r>
          </w:p>
        </w:tc>
        <w:tc>
          <w:tcPr>
            <w:tcW w:w="1024" w:type="dxa"/>
            <w:tcBorders>
              <w:tl2br w:val="nil"/>
              <w:tr2bl w:val="nil"/>
            </w:tcBorders>
            <w:noWrap w:val="0"/>
            <w:vAlign w:val="center"/>
          </w:tcPr>
          <w:p w14:paraId="47C91A10">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lang w:val="en-US" w:eastAsia="zh-CN"/>
              </w:rPr>
            </w:pPr>
            <w:r>
              <w:rPr>
                <w:rFonts w:hint="eastAsia" w:ascii="宋体" w:hAnsi="宋体" w:eastAsia="方正仿宋_GBK" w:cs="方正仿宋_GBK"/>
                <w:color w:val="000000"/>
                <w:kern w:val="0"/>
                <w:sz w:val="24"/>
                <w:szCs w:val="24"/>
                <w:lang w:val="en-US" w:eastAsia="zh-CN"/>
              </w:rPr>
              <w:t>偏离度（%）</w:t>
            </w:r>
          </w:p>
        </w:tc>
        <w:tc>
          <w:tcPr>
            <w:tcW w:w="1080" w:type="dxa"/>
            <w:gridSpan w:val="2"/>
            <w:tcBorders>
              <w:tl2br w:val="nil"/>
              <w:tr2bl w:val="nil"/>
            </w:tcBorders>
            <w:noWrap w:val="0"/>
            <w:vAlign w:val="center"/>
          </w:tcPr>
          <w:p w14:paraId="369064A7">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得分</w:t>
            </w:r>
          </w:p>
          <w:p w14:paraId="05C00B89">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系数</w:t>
            </w:r>
          </w:p>
          <w:p w14:paraId="45C256F6">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w:t>
            </w:r>
          </w:p>
        </w:tc>
        <w:tc>
          <w:tcPr>
            <w:tcW w:w="1092" w:type="dxa"/>
            <w:gridSpan w:val="2"/>
            <w:tcBorders>
              <w:tl2br w:val="nil"/>
              <w:tr2bl w:val="nil"/>
            </w:tcBorders>
            <w:noWrap w:val="0"/>
            <w:vAlign w:val="center"/>
          </w:tcPr>
          <w:p w14:paraId="269A2E36">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指标</w:t>
            </w:r>
          </w:p>
          <w:p w14:paraId="587C3932">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权重</w:t>
            </w:r>
          </w:p>
          <w:p w14:paraId="5E9F9097">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（分）</w:t>
            </w:r>
          </w:p>
        </w:tc>
        <w:tc>
          <w:tcPr>
            <w:tcW w:w="1284" w:type="dxa"/>
            <w:gridSpan w:val="2"/>
            <w:tcBorders>
              <w:tl2br w:val="nil"/>
              <w:tr2bl w:val="nil"/>
            </w:tcBorders>
            <w:noWrap w:val="0"/>
            <w:vAlign w:val="center"/>
          </w:tcPr>
          <w:p w14:paraId="2C29114F">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指标得分</w:t>
            </w:r>
          </w:p>
          <w:p w14:paraId="459AFBD3">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（分）</w:t>
            </w:r>
          </w:p>
        </w:tc>
        <w:tc>
          <w:tcPr>
            <w:tcW w:w="892" w:type="dxa"/>
            <w:gridSpan w:val="2"/>
            <w:tcBorders>
              <w:tl2br w:val="nil"/>
              <w:tr2bl w:val="nil"/>
            </w:tcBorders>
            <w:noWrap w:val="0"/>
            <w:vAlign w:val="center"/>
          </w:tcPr>
          <w:p w14:paraId="3C9FB47D">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lang w:val="en-US" w:eastAsia="zh-CN"/>
              </w:rPr>
            </w:pPr>
            <w:r>
              <w:rPr>
                <w:rFonts w:hint="eastAsia" w:ascii="宋体" w:hAnsi="宋体" w:eastAsia="方正仿宋_GBK" w:cs="方正仿宋_GBK"/>
                <w:color w:val="000000"/>
                <w:kern w:val="0"/>
                <w:sz w:val="24"/>
                <w:szCs w:val="24"/>
                <w:lang w:val="en-US" w:eastAsia="zh-CN"/>
              </w:rPr>
              <w:t>说明</w:t>
            </w:r>
          </w:p>
        </w:tc>
      </w:tr>
      <w:tr w14:paraId="2641CE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47" w:type="dxa"/>
            <w:vMerge w:val="continue"/>
            <w:tcBorders>
              <w:tl2br w:val="nil"/>
              <w:tr2bl w:val="nil"/>
            </w:tcBorders>
            <w:noWrap w:val="0"/>
            <w:vAlign w:val="center"/>
          </w:tcPr>
          <w:p w14:paraId="3888E87D">
            <w:pPr>
              <w:keepNext w:val="0"/>
              <w:keepLines w:val="0"/>
              <w:pageBreakBefore w:val="0"/>
              <w:widowControl/>
              <w:kinsoku/>
              <w:wordWrap/>
              <w:overflowPunct/>
              <w:topLinePunct w:val="0"/>
              <w:autoSpaceDN/>
              <w:bidi w:val="0"/>
              <w:snapToGrid/>
              <w:spacing w:line="579" w:lineRule="exact"/>
              <w:textAlignment w:val="auto"/>
              <w:rPr>
                <w:rFonts w:hint="eastAsia" w:ascii="宋体" w:hAnsi="宋体" w:eastAsia="方正仿宋_GBK" w:cs="方正仿宋_GBK"/>
                <w:color w:val="000000"/>
                <w:kern w:val="0"/>
                <w:sz w:val="24"/>
                <w:szCs w:val="24"/>
              </w:rPr>
            </w:pPr>
          </w:p>
        </w:tc>
        <w:tc>
          <w:tcPr>
            <w:tcW w:w="756" w:type="dxa"/>
            <w:tcBorders>
              <w:tl2br w:val="nil"/>
              <w:tr2bl w:val="nil"/>
            </w:tcBorders>
            <w:noWrap w:val="0"/>
            <w:vAlign w:val="center"/>
          </w:tcPr>
          <w:p w14:paraId="2F6262ED">
            <w:pPr>
              <w:keepNext w:val="0"/>
              <w:keepLines w:val="0"/>
              <w:pageBreakBefore w:val="0"/>
              <w:widowControl/>
              <w:kinsoku/>
              <w:wordWrap/>
              <w:overflowPunct/>
              <w:topLinePunct w:val="0"/>
              <w:autoSpaceDN/>
              <w:bidi w:val="0"/>
              <w:snapToGrid/>
              <w:spacing w:line="579" w:lineRule="exact"/>
              <w:textAlignment w:val="auto"/>
              <w:rPr>
                <w:rFonts w:hint="default" w:ascii="宋体" w:hAnsi="宋体" w:eastAsia="方正仿宋_GBK" w:cs="方正仿宋_GBK"/>
                <w:color w:val="000000"/>
                <w:kern w:val="0"/>
                <w:sz w:val="24"/>
                <w:szCs w:val="24"/>
                <w:lang w:val="en-US" w:eastAsia="zh-CN"/>
              </w:rPr>
            </w:pPr>
            <w:r>
              <w:rPr>
                <w:rFonts w:hint="eastAsia" w:ascii="宋体" w:hAnsi="宋体" w:eastAsia="方正仿宋_GBK" w:cs="方正仿宋_GBK"/>
                <w:color w:val="000000"/>
                <w:kern w:val="0"/>
                <w:sz w:val="24"/>
                <w:szCs w:val="24"/>
                <w:lang w:val="en-US" w:eastAsia="zh-CN"/>
              </w:rPr>
              <w:t>补助合格率</w:t>
            </w:r>
          </w:p>
        </w:tc>
        <w:tc>
          <w:tcPr>
            <w:tcW w:w="708" w:type="dxa"/>
            <w:tcBorders>
              <w:tl2br w:val="nil"/>
              <w:tr2bl w:val="nil"/>
            </w:tcBorders>
            <w:noWrap w:val="0"/>
            <w:vAlign w:val="center"/>
          </w:tcPr>
          <w:p w14:paraId="33EB9342">
            <w:pPr>
              <w:keepNext w:val="0"/>
              <w:keepLines w:val="0"/>
              <w:pageBreakBefore w:val="0"/>
              <w:widowControl/>
              <w:kinsoku/>
              <w:wordWrap/>
              <w:overflowPunct/>
              <w:topLinePunct w:val="0"/>
              <w:autoSpaceDN/>
              <w:bidi w:val="0"/>
              <w:snapToGrid/>
              <w:spacing w:line="579" w:lineRule="exact"/>
              <w:textAlignment w:val="auto"/>
              <w:rPr>
                <w:rFonts w:hint="eastAsia" w:ascii="宋体" w:hAnsi="宋体" w:eastAsia="方正仿宋_GBK" w:cs="方正仿宋_GBK"/>
                <w:color w:val="000000"/>
                <w:kern w:val="0"/>
                <w:sz w:val="24"/>
                <w:szCs w:val="24"/>
                <w:lang w:val="en-US" w:eastAsia="zh-CN"/>
              </w:rPr>
            </w:pPr>
            <w:r>
              <w:rPr>
                <w:rFonts w:hint="eastAsia" w:ascii="宋体" w:hAnsi="宋体" w:eastAsia="方正仿宋_GBK" w:cs="方正仿宋_GBK"/>
                <w:color w:val="000000"/>
                <w:kern w:val="0"/>
                <w:sz w:val="24"/>
                <w:szCs w:val="24"/>
                <w:lang w:val="en-US" w:eastAsia="zh-CN"/>
              </w:rPr>
              <w:t>%</w:t>
            </w:r>
          </w:p>
        </w:tc>
        <w:tc>
          <w:tcPr>
            <w:tcW w:w="709" w:type="dxa"/>
            <w:tcBorders>
              <w:tl2br w:val="nil"/>
              <w:tr2bl w:val="nil"/>
            </w:tcBorders>
            <w:noWrap w:val="0"/>
            <w:vAlign w:val="center"/>
          </w:tcPr>
          <w:p w14:paraId="641BEA00">
            <w:pPr>
              <w:keepNext w:val="0"/>
              <w:keepLines w:val="0"/>
              <w:pageBreakBefore w:val="0"/>
              <w:widowControl/>
              <w:kinsoku/>
              <w:wordWrap/>
              <w:overflowPunct/>
              <w:topLinePunct w:val="0"/>
              <w:autoSpaceDN/>
              <w:bidi w:val="0"/>
              <w:snapToGrid/>
              <w:spacing w:line="579" w:lineRule="exact"/>
              <w:textAlignment w:val="auto"/>
              <w:rPr>
                <w:rFonts w:hint="eastAsia" w:ascii="宋体" w:hAnsi="宋体" w:eastAsia="方正仿宋_GBK" w:cs="方正仿宋_GBK"/>
                <w:color w:val="000000"/>
                <w:kern w:val="0"/>
                <w:sz w:val="24"/>
                <w:szCs w:val="24"/>
              </w:rPr>
            </w:pPr>
            <w:r>
              <w:rPr>
                <w:rFonts w:hint="default" w:ascii="Arial" w:hAnsi="Arial" w:eastAsia="方正仿宋_GBK" w:cs="Arial"/>
                <w:color w:val="000000"/>
                <w:kern w:val="0"/>
                <w:sz w:val="24"/>
                <w:szCs w:val="24"/>
              </w:rPr>
              <w:t>≥</w:t>
            </w:r>
          </w:p>
        </w:tc>
        <w:tc>
          <w:tcPr>
            <w:tcW w:w="844" w:type="dxa"/>
            <w:gridSpan w:val="2"/>
            <w:tcBorders>
              <w:tl2br w:val="nil"/>
              <w:tr2bl w:val="nil"/>
            </w:tcBorders>
            <w:noWrap w:val="0"/>
            <w:vAlign w:val="center"/>
          </w:tcPr>
          <w:p w14:paraId="52D18632">
            <w:pPr>
              <w:keepNext w:val="0"/>
              <w:keepLines w:val="0"/>
              <w:pageBreakBefore w:val="0"/>
              <w:widowControl/>
              <w:kinsoku/>
              <w:wordWrap/>
              <w:overflowPunct/>
              <w:topLinePunct w:val="0"/>
              <w:autoSpaceDN/>
              <w:bidi w:val="0"/>
              <w:snapToGrid/>
              <w:spacing w:line="579" w:lineRule="exact"/>
              <w:textAlignment w:val="auto"/>
              <w:rPr>
                <w:rFonts w:hint="default" w:ascii="宋体" w:hAnsi="宋体" w:eastAsia="方正仿宋_GBK" w:cs="方正仿宋_GBK"/>
                <w:color w:val="000000"/>
                <w:kern w:val="0"/>
                <w:sz w:val="24"/>
                <w:szCs w:val="24"/>
                <w:lang w:val="en-US" w:eastAsia="zh-CN"/>
              </w:rPr>
            </w:pPr>
            <w:r>
              <w:rPr>
                <w:rFonts w:hint="eastAsia" w:ascii="宋体" w:hAnsi="宋体" w:eastAsia="方正仿宋_GBK" w:cs="方正仿宋_GBK"/>
                <w:color w:val="000000"/>
                <w:kern w:val="0"/>
                <w:sz w:val="24"/>
                <w:szCs w:val="24"/>
                <w:lang w:val="en-US" w:eastAsia="zh-CN"/>
              </w:rPr>
              <w:t>100</w:t>
            </w:r>
          </w:p>
        </w:tc>
        <w:tc>
          <w:tcPr>
            <w:tcW w:w="972" w:type="dxa"/>
            <w:gridSpan w:val="2"/>
            <w:tcBorders>
              <w:tl2br w:val="nil"/>
              <w:tr2bl w:val="nil"/>
            </w:tcBorders>
            <w:noWrap w:val="0"/>
            <w:vAlign w:val="center"/>
          </w:tcPr>
          <w:p w14:paraId="10EE2DDE">
            <w:pPr>
              <w:keepNext w:val="0"/>
              <w:keepLines w:val="0"/>
              <w:pageBreakBefore w:val="0"/>
              <w:widowControl/>
              <w:kinsoku/>
              <w:wordWrap/>
              <w:overflowPunct/>
              <w:topLinePunct w:val="0"/>
              <w:autoSpaceDN/>
              <w:bidi w:val="0"/>
              <w:snapToGrid/>
              <w:spacing w:line="579" w:lineRule="exact"/>
              <w:textAlignment w:val="auto"/>
              <w:rPr>
                <w:rFonts w:hint="default" w:ascii="宋体" w:hAnsi="宋体" w:eastAsia="方正仿宋_GBK" w:cs="方正仿宋_GBK"/>
                <w:color w:val="000000"/>
                <w:kern w:val="0"/>
                <w:sz w:val="24"/>
                <w:szCs w:val="24"/>
                <w:lang w:val="en-US" w:eastAsia="zh-CN"/>
              </w:rPr>
            </w:pPr>
            <w:r>
              <w:rPr>
                <w:rFonts w:hint="eastAsia" w:ascii="宋体" w:hAnsi="宋体" w:eastAsia="方正仿宋_GBK" w:cs="方正仿宋_GBK"/>
                <w:color w:val="000000"/>
                <w:kern w:val="0"/>
                <w:sz w:val="24"/>
                <w:szCs w:val="24"/>
                <w:lang w:val="en-US" w:eastAsia="zh-CN"/>
              </w:rPr>
              <w:t>100</w:t>
            </w:r>
          </w:p>
        </w:tc>
        <w:tc>
          <w:tcPr>
            <w:tcW w:w="1024" w:type="dxa"/>
            <w:tcBorders>
              <w:tl2br w:val="nil"/>
              <w:tr2bl w:val="nil"/>
            </w:tcBorders>
            <w:noWrap w:val="0"/>
            <w:vAlign w:val="center"/>
          </w:tcPr>
          <w:p w14:paraId="3E891C55">
            <w:pPr>
              <w:keepNext w:val="0"/>
              <w:keepLines w:val="0"/>
              <w:pageBreakBefore w:val="0"/>
              <w:widowControl/>
              <w:kinsoku/>
              <w:wordWrap/>
              <w:overflowPunct/>
              <w:topLinePunct w:val="0"/>
              <w:autoSpaceDN/>
              <w:bidi w:val="0"/>
              <w:snapToGrid/>
              <w:spacing w:line="579" w:lineRule="exact"/>
              <w:textAlignment w:val="auto"/>
              <w:rPr>
                <w:rFonts w:hint="eastAsia" w:ascii="宋体" w:hAnsi="宋体" w:eastAsia="方正仿宋_GBK" w:cs="方正仿宋_GBK"/>
                <w:color w:val="000000"/>
                <w:kern w:val="0"/>
                <w:sz w:val="24"/>
                <w:szCs w:val="24"/>
              </w:rPr>
            </w:pPr>
          </w:p>
        </w:tc>
        <w:tc>
          <w:tcPr>
            <w:tcW w:w="1080" w:type="dxa"/>
            <w:gridSpan w:val="2"/>
            <w:tcBorders>
              <w:tl2br w:val="nil"/>
              <w:tr2bl w:val="nil"/>
            </w:tcBorders>
            <w:noWrap w:val="0"/>
            <w:vAlign w:val="center"/>
          </w:tcPr>
          <w:p w14:paraId="074BA1D4">
            <w:pPr>
              <w:keepNext w:val="0"/>
              <w:keepLines w:val="0"/>
              <w:pageBreakBefore w:val="0"/>
              <w:widowControl/>
              <w:kinsoku/>
              <w:wordWrap/>
              <w:overflowPunct/>
              <w:topLinePunct w:val="0"/>
              <w:autoSpaceDN/>
              <w:bidi w:val="0"/>
              <w:snapToGrid/>
              <w:spacing w:line="579" w:lineRule="exact"/>
              <w:textAlignment w:val="auto"/>
              <w:rPr>
                <w:rFonts w:hint="default" w:ascii="宋体" w:hAnsi="宋体" w:eastAsia="方正仿宋_GBK" w:cs="方正仿宋_GBK"/>
                <w:color w:val="000000"/>
                <w:kern w:val="0"/>
                <w:sz w:val="24"/>
                <w:szCs w:val="24"/>
                <w:lang w:val="en-US" w:eastAsia="zh-CN"/>
              </w:rPr>
            </w:pPr>
            <w:r>
              <w:rPr>
                <w:rFonts w:hint="eastAsia" w:ascii="宋体" w:hAnsi="宋体" w:eastAsia="方正仿宋_GBK" w:cs="方正仿宋_GBK"/>
                <w:color w:val="000000"/>
                <w:kern w:val="0"/>
                <w:sz w:val="24"/>
                <w:szCs w:val="24"/>
                <w:lang w:val="en-US" w:eastAsia="zh-CN"/>
              </w:rPr>
              <w:t>100</w:t>
            </w:r>
          </w:p>
        </w:tc>
        <w:tc>
          <w:tcPr>
            <w:tcW w:w="1092" w:type="dxa"/>
            <w:gridSpan w:val="2"/>
            <w:tcBorders>
              <w:tl2br w:val="nil"/>
              <w:tr2bl w:val="nil"/>
            </w:tcBorders>
            <w:noWrap w:val="0"/>
            <w:vAlign w:val="center"/>
          </w:tcPr>
          <w:p w14:paraId="460C0524">
            <w:pPr>
              <w:keepNext w:val="0"/>
              <w:keepLines w:val="0"/>
              <w:pageBreakBefore w:val="0"/>
              <w:widowControl/>
              <w:kinsoku/>
              <w:wordWrap/>
              <w:overflowPunct/>
              <w:topLinePunct w:val="0"/>
              <w:autoSpaceDN/>
              <w:bidi w:val="0"/>
              <w:snapToGrid/>
              <w:spacing w:line="579" w:lineRule="exact"/>
              <w:textAlignment w:val="auto"/>
              <w:rPr>
                <w:rFonts w:hint="default" w:ascii="宋体" w:hAnsi="宋体" w:eastAsia="方正仿宋_GBK" w:cs="方正仿宋_GBK"/>
                <w:color w:val="000000"/>
                <w:kern w:val="0"/>
                <w:sz w:val="24"/>
                <w:szCs w:val="24"/>
                <w:lang w:val="en-US" w:eastAsia="zh-CN"/>
              </w:rPr>
            </w:pPr>
            <w:r>
              <w:rPr>
                <w:rFonts w:hint="eastAsia" w:ascii="宋体" w:hAnsi="宋体" w:eastAsia="方正仿宋_GBK" w:cs="方正仿宋_GBK"/>
                <w:color w:val="000000"/>
                <w:kern w:val="0"/>
                <w:sz w:val="24"/>
                <w:szCs w:val="24"/>
                <w:lang w:val="en-US" w:eastAsia="zh-CN"/>
              </w:rPr>
              <w:t>25</w:t>
            </w:r>
          </w:p>
        </w:tc>
        <w:tc>
          <w:tcPr>
            <w:tcW w:w="1284" w:type="dxa"/>
            <w:gridSpan w:val="2"/>
            <w:tcBorders>
              <w:tl2br w:val="nil"/>
              <w:tr2bl w:val="nil"/>
            </w:tcBorders>
            <w:noWrap w:val="0"/>
            <w:vAlign w:val="center"/>
          </w:tcPr>
          <w:p w14:paraId="6327854B">
            <w:pPr>
              <w:keepNext w:val="0"/>
              <w:keepLines w:val="0"/>
              <w:pageBreakBefore w:val="0"/>
              <w:widowControl/>
              <w:kinsoku/>
              <w:wordWrap/>
              <w:overflowPunct/>
              <w:topLinePunct w:val="0"/>
              <w:autoSpaceDN/>
              <w:bidi w:val="0"/>
              <w:snapToGrid/>
              <w:spacing w:line="579" w:lineRule="exact"/>
              <w:textAlignment w:val="auto"/>
              <w:rPr>
                <w:rFonts w:hint="default" w:ascii="宋体" w:hAnsi="宋体" w:eastAsia="方正仿宋_GBK" w:cs="方正仿宋_GBK"/>
                <w:color w:val="000000"/>
                <w:kern w:val="0"/>
                <w:sz w:val="24"/>
                <w:szCs w:val="24"/>
                <w:lang w:val="en-US" w:eastAsia="zh-CN"/>
              </w:rPr>
            </w:pPr>
            <w:r>
              <w:rPr>
                <w:rFonts w:hint="eastAsia" w:ascii="宋体" w:hAnsi="宋体" w:eastAsia="方正仿宋_GBK" w:cs="方正仿宋_GBK"/>
                <w:color w:val="000000"/>
                <w:kern w:val="0"/>
                <w:sz w:val="24"/>
                <w:szCs w:val="24"/>
                <w:lang w:val="en-US" w:eastAsia="zh-CN"/>
              </w:rPr>
              <w:t>25</w:t>
            </w:r>
          </w:p>
        </w:tc>
        <w:tc>
          <w:tcPr>
            <w:tcW w:w="892" w:type="dxa"/>
            <w:gridSpan w:val="2"/>
            <w:tcBorders>
              <w:tl2br w:val="nil"/>
              <w:tr2bl w:val="nil"/>
            </w:tcBorders>
            <w:noWrap w:val="0"/>
            <w:vAlign w:val="center"/>
          </w:tcPr>
          <w:p w14:paraId="7AC687AC">
            <w:pPr>
              <w:keepNext w:val="0"/>
              <w:keepLines w:val="0"/>
              <w:pageBreakBefore w:val="0"/>
              <w:widowControl/>
              <w:kinsoku/>
              <w:wordWrap/>
              <w:overflowPunct/>
              <w:topLinePunct w:val="0"/>
              <w:autoSpaceDN/>
              <w:bidi w:val="0"/>
              <w:snapToGrid/>
              <w:spacing w:line="579" w:lineRule="exact"/>
              <w:textAlignment w:val="auto"/>
              <w:rPr>
                <w:rFonts w:hint="eastAsia" w:ascii="宋体" w:hAnsi="宋体" w:eastAsia="方正仿宋_GBK" w:cs="方正仿宋_GBK"/>
                <w:color w:val="000000"/>
                <w:kern w:val="0"/>
                <w:sz w:val="24"/>
                <w:szCs w:val="24"/>
              </w:rPr>
            </w:pPr>
          </w:p>
        </w:tc>
      </w:tr>
      <w:tr w14:paraId="26DA43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5" w:hRule="atLeast"/>
          <w:jc w:val="center"/>
        </w:trPr>
        <w:tc>
          <w:tcPr>
            <w:tcW w:w="847" w:type="dxa"/>
            <w:tcBorders>
              <w:tl2br w:val="nil"/>
              <w:tr2bl w:val="nil"/>
            </w:tcBorders>
            <w:noWrap w:val="0"/>
            <w:vAlign w:val="center"/>
          </w:tcPr>
          <w:p w14:paraId="23D46C66">
            <w:pPr>
              <w:keepNext w:val="0"/>
              <w:keepLines w:val="0"/>
              <w:pageBreakBefore w:val="0"/>
              <w:widowControl/>
              <w:kinsoku/>
              <w:wordWrap/>
              <w:overflowPunct/>
              <w:topLinePunct w:val="0"/>
              <w:autoSpaceDN/>
              <w:bidi w:val="0"/>
              <w:snapToGrid/>
              <w:spacing w:line="579" w:lineRule="exact"/>
              <w:textAlignment w:val="auto"/>
              <w:rPr>
                <w:rFonts w:hint="eastAsia" w:ascii="宋体" w:hAnsi="宋体" w:eastAsia="方正仿宋_GBK" w:cs="方正仿宋_GBK"/>
                <w:color w:val="000000"/>
                <w:kern w:val="0"/>
                <w:sz w:val="24"/>
                <w:szCs w:val="24"/>
              </w:rPr>
            </w:pPr>
          </w:p>
        </w:tc>
        <w:tc>
          <w:tcPr>
            <w:tcW w:w="756" w:type="dxa"/>
            <w:tcBorders>
              <w:tl2br w:val="nil"/>
              <w:tr2bl w:val="nil"/>
            </w:tcBorders>
            <w:noWrap w:val="0"/>
            <w:vAlign w:val="center"/>
          </w:tcPr>
          <w:p w14:paraId="4376502D">
            <w:pPr>
              <w:keepNext w:val="0"/>
              <w:keepLines w:val="0"/>
              <w:pageBreakBefore w:val="0"/>
              <w:widowControl/>
              <w:kinsoku/>
              <w:wordWrap/>
              <w:overflowPunct/>
              <w:topLinePunct w:val="0"/>
              <w:autoSpaceDN/>
              <w:bidi w:val="0"/>
              <w:snapToGrid/>
              <w:spacing w:line="579" w:lineRule="exact"/>
              <w:textAlignment w:val="auto"/>
              <w:rPr>
                <w:rFonts w:hint="default" w:ascii="宋体" w:hAnsi="宋体" w:eastAsia="方正仿宋_GBK" w:cs="方正仿宋_GBK"/>
                <w:color w:val="000000"/>
                <w:kern w:val="0"/>
                <w:sz w:val="24"/>
                <w:szCs w:val="24"/>
                <w:lang w:val="en-US" w:eastAsia="zh-CN"/>
              </w:rPr>
            </w:pPr>
            <w:r>
              <w:rPr>
                <w:rFonts w:hint="eastAsia" w:ascii="宋体" w:hAnsi="宋体" w:eastAsia="方正仿宋_GBK" w:cs="方正仿宋_GBK"/>
                <w:color w:val="000000"/>
                <w:kern w:val="0"/>
                <w:sz w:val="24"/>
                <w:szCs w:val="24"/>
                <w:lang w:val="en-US" w:eastAsia="zh-CN"/>
              </w:rPr>
              <w:t>补助企业（单位）数量</w:t>
            </w:r>
          </w:p>
        </w:tc>
        <w:tc>
          <w:tcPr>
            <w:tcW w:w="708" w:type="dxa"/>
            <w:tcBorders>
              <w:tl2br w:val="nil"/>
              <w:tr2bl w:val="nil"/>
            </w:tcBorders>
            <w:noWrap w:val="0"/>
            <w:vAlign w:val="center"/>
          </w:tcPr>
          <w:p w14:paraId="32D9A229">
            <w:pPr>
              <w:keepNext w:val="0"/>
              <w:keepLines w:val="0"/>
              <w:pageBreakBefore w:val="0"/>
              <w:widowControl/>
              <w:kinsoku/>
              <w:wordWrap/>
              <w:overflowPunct/>
              <w:topLinePunct w:val="0"/>
              <w:autoSpaceDN/>
              <w:bidi w:val="0"/>
              <w:snapToGrid/>
              <w:spacing w:line="579" w:lineRule="exact"/>
              <w:textAlignment w:val="auto"/>
              <w:rPr>
                <w:rFonts w:hint="default" w:ascii="宋体" w:hAnsi="宋体" w:eastAsia="方正仿宋_GBK" w:cs="方正仿宋_GBK"/>
                <w:color w:val="000000"/>
                <w:kern w:val="0"/>
                <w:sz w:val="24"/>
                <w:szCs w:val="24"/>
                <w:lang w:val="en-US" w:eastAsia="zh-CN"/>
              </w:rPr>
            </w:pPr>
            <w:r>
              <w:rPr>
                <w:rFonts w:hint="eastAsia" w:ascii="宋体" w:hAnsi="宋体" w:eastAsia="方正仿宋_GBK" w:cs="方正仿宋_GBK"/>
                <w:color w:val="000000"/>
                <w:kern w:val="0"/>
                <w:sz w:val="24"/>
                <w:szCs w:val="24"/>
                <w:lang w:val="en-US" w:eastAsia="zh-CN"/>
              </w:rPr>
              <w:t>个</w:t>
            </w:r>
          </w:p>
        </w:tc>
        <w:tc>
          <w:tcPr>
            <w:tcW w:w="709" w:type="dxa"/>
            <w:tcBorders>
              <w:tl2br w:val="nil"/>
              <w:tr2bl w:val="nil"/>
            </w:tcBorders>
            <w:noWrap w:val="0"/>
            <w:vAlign w:val="center"/>
          </w:tcPr>
          <w:p w14:paraId="20C2030A">
            <w:pPr>
              <w:keepNext w:val="0"/>
              <w:keepLines w:val="0"/>
              <w:pageBreakBefore w:val="0"/>
              <w:widowControl/>
              <w:kinsoku/>
              <w:wordWrap/>
              <w:overflowPunct/>
              <w:topLinePunct w:val="0"/>
              <w:autoSpaceDN/>
              <w:bidi w:val="0"/>
              <w:snapToGrid/>
              <w:spacing w:line="579" w:lineRule="exact"/>
              <w:textAlignment w:val="auto"/>
              <w:rPr>
                <w:rFonts w:hint="default" w:ascii="Arial" w:hAnsi="Arial" w:eastAsia="方正仿宋_GBK" w:cs="Arial"/>
                <w:color w:val="000000"/>
                <w:kern w:val="0"/>
                <w:sz w:val="24"/>
                <w:szCs w:val="24"/>
              </w:rPr>
            </w:pPr>
            <w:r>
              <w:rPr>
                <w:rFonts w:hint="default" w:ascii="Arial" w:hAnsi="Arial" w:eastAsia="方正仿宋_GBK" w:cs="Arial"/>
                <w:color w:val="000000"/>
                <w:kern w:val="0"/>
                <w:sz w:val="24"/>
                <w:szCs w:val="24"/>
              </w:rPr>
              <w:t>≥</w:t>
            </w:r>
          </w:p>
        </w:tc>
        <w:tc>
          <w:tcPr>
            <w:tcW w:w="844" w:type="dxa"/>
            <w:gridSpan w:val="2"/>
            <w:tcBorders>
              <w:tl2br w:val="nil"/>
              <w:tr2bl w:val="nil"/>
            </w:tcBorders>
            <w:noWrap w:val="0"/>
            <w:vAlign w:val="center"/>
          </w:tcPr>
          <w:p w14:paraId="475F5626">
            <w:pPr>
              <w:keepNext w:val="0"/>
              <w:keepLines w:val="0"/>
              <w:pageBreakBefore w:val="0"/>
              <w:widowControl/>
              <w:kinsoku/>
              <w:wordWrap/>
              <w:overflowPunct/>
              <w:topLinePunct w:val="0"/>
              <w:autoSpaceDN/>
              <w:bidi w:val="0"/>
              <w:snapToGrid/>
              <w:spacing w:line="579" w:lineRule="exact"/>
              <w:textAlignment w:val="auto"/>
              <w:rPr>
                <w:rFonts w:hint="default" w:ascii="宋体" w:hAnsi="宋体" w:eastAsia="方正仿宋_GBK" w:cs="方正仿宋_GBK"/>
                <w:color w:val="000000"/>
                <w:kern w:val="0"/>
                <w:sz w:val="24"/>
                <w:szCs w:val="24"/>
                <w:lang w:val="en-US" w:eastAsia="zh-CN"/>
              </w:rPr>
            </w:pPr>
            <w:r>
              <w:rPr>
                <w:rFonts w:hint="eastAsia" w:ascii="宋体" w:hAnsi="宋体" w:eastAsia="方正仿宋_GBK" w:cs="方正仿宋_GBK"/>
                <w:color w:val="000000"/>
                <w:kern w:val="0"/>
                <w:sz w:val="24"/>
                <w:szCs w:val="24"/>
                <w:lang w:val="en-US" w:eastAsia="zh-CN"/>
              </w:rPr>
              <w:t>1</w:t>
            </w:r>
          </w:p>
        </w:tc>
        <w:tc>
          <w:tcPr>
            <w:tcW w:w="972" w:type="dxa"/>
            <w:gridSpan w:val="2"/>
            <w:tcBorders>
              <w:tl2br w:val="nil"/>
              <w:tr2bl w:val="nil"/>
            </w:tcBorders>
            <w:noWrap w:val="0"/>
            <w:vAlign w:val="center"/>
          </w:tcPr>
          <w:p w14:paraId="66E51CCD">
            <w:pPr>
              <w:keepNext w:val="0"/>
              <w:keepLines w:val="0"/>
              <w:pageBreakBefore w:val="0"/>
              <w:widowControl/>
              <w:kinsoku/>
              <w:wordWrap/>
              <w:overflowPunct/>
              <w:topLinePunct w:val="0"/>
              <w:autoSpaceDN/>
              <w:bidi w:val="0"/>
              <w:snapToGrid/>
              <w:spacing w:line="579" w:lineRule="exact"/>
              <w:textAlignment w:val="auto"/>
              <w:rPr>
                <w:rFonts w:hint="default" w:ascii="宋体" w:hAnsi="宋体" w:eastAsia="方正仿宋_GBK" w:cs="方正仿宋_GBK"/>
                <w:color w:val="000000"/>
                <w:kern w:val="0"/>
                <w:sz w:val="24"/>
                <w:szCs w:val="24"/>
                <w:lang w:val="en-US" w:eastAsia="zh-CN"/>
              </w:rPr>
            </w:pPr>
            <w:r>
              <w:rPr>
                <w:rFonts w:hint="eastAsia" w:ascii="宋体" w:hAnsi="宋体" w:eastAsia="方正仿宋_GBK" w:cs="方正仿宋_GBK"/>
                <w:color w:val="000000"/>
                <w:kern w:val="0"/>
                <w:sz w:val="24"/>
                <w:szCs w:val="24"/>
                <w:lang w:val="en-US" w:eastAsia="zh-CN"/>
              </w:rPr>
              <w:t>1</w:t>
            </w:r>
          </w:p>
        </w:tc>
        <w:tc>
          <w:tcPr>
            <w:tcW w:w="1024" w:type="dxa"/>
            <w:tcBorders>
              <w:tl2br w:val="nil"/>
              <w:tr2bl w:val="nil"/>
            </w:tcBorders>
            <w:noWrap w:val="0"/>
            <w:vAlign w:val="center"/>
          </w:tcPr>
          <w:p w14:paraId="0249CCCA">
            <w:pPr>
              <w:keepNext w:val="0"/>
              <w:keepLines w:val="0"/>
              <w:pageBreakBefore w:val="0"/>
              <w:widowControl/>
              <w:kinsoku/>
              <w:wordWrap/>
              <w:overflowPunct/>
              <w:topLinePunct w:val="0"/>
              <w:autoSpaceDN/>
              <w:bidi w:val="0"/>
              <w:snapToGrid/>
              <w:spacing w:line="579" w:lineRule="exact"/>
              <w:textAlignment w:val="auto"/>
              <w:rPr>
                <w:rFonts w:hint="eastAsia" w:ascii="宋体" w:hAnsi="宋体" w:eastAsia="方正仿宋_GBK" w:cs="方正仿宋_GBK"/>
                <w:color w:val="000000"/>
                <w:kern w:val="0"/>
                <w:sz w:val="24"/>
                <w:szCs w:val="24"/>
              </w:rPr>
            </w:pPr>
          </w:p>
        </w:tc>
        <w:tc>
          <w:tcPr>
            <w:tcW w:w="1080" w:type="dxa"/>
            <w:gridSpan w:val="2"/>
            <w:tcBorders>
              <w:tl2br w:val="nil"/>
              <w:tr2bl w:val="nil"/>
            </w:tcBorders>
            <w:noWrap w:val="0"/>
            <w:vAlign w:val="center"/>
          </w:tcPr>
          <w:p w14:paraId="071F36EF">
            <w:pPr>
              <w:keepNext w:val="0"/>
              <w:keepLines w:val="0"/>
              <w:pageBreakBefore w:val="0"/>
              <w:widowControl/>
              <w:kinsoku/>
              <w:wordWrap/>
              <w:overflowPunct/>
              <w:topLinePunct w:val="0"/>
              <w:autoSpaceDN/>
              <w:bidi w:val="0"/>
              <w:snapToGrid/>
              <w:spacing w:line="579" w:lineRule="exact"/>
              <w:textAlignment w:val="auto"/>
              <w:rPr>
                <w:rFonts w:hint="default" w:ascii="宋体" w:hAnsi="宋体" w:eastAsia="方正仿宋_GBK" w:cs="方正仿宋_GBK"/>
                <w:color w:val="000000"/>
                <w:kern w:val="0"/>
                <w:sz w:val="24"/>
                <w:szCs w:val="24"/>
                <w:lang w:val="en-US" w:eastAsia="zh-CN"/>
              </w:rPr>
            </w:pPr>
            <w:r>
              <w:rPr>
                <w:rFonts w:hint="eastAsia" w:ascii="宋体" w:hAnsi="宋体" w:eastAsia="方正仿宋_GBK" w:cs="方正仿宋_GBK"/>
                <w:color w:val="000000"/>
                <w:kern w:val="0"/>
                <w:sz w:val="24"/>
                <w:szCs w:val="24"/>
                <w:lang w:val="en-US" w:eastAsia="zh-CN"/>
              </w:rPr>
              <w:t>100</w:t>
            </w:r>
          </w:p>
        </w:tc>
        <w:tc>
          <w:tcPr>
            <w:tcW w:w="1092" w:type="dxa"/>
            <w:gridSpan w:val="2"/>
            <w:tcBorders>
              <w:tl2br w:val="nil"/>
              <w:tr2bl w:val="nil"/>
            </w:tcBorders>
            <w:noWrap w:val="0"/>
            <w:vAlign w:val="center"/>
          </w:tcPr>
          <w:p w14:paraId="3AB8B979">
            <w:pPr>
              <w:keepNext w:val="0"/>
              <w:keepLines w:val="0"/>
              <w:pageBreakBefore w:val="0"/>
              <w:widowControl/>
              <w:kinsoku/>
              <w:wordWrap/>
              <w:overflowPunct/>
              <w:topLinePunct w:val="0"/>
              <w:autoSpaceDN/>
              <w:bidi w:val="0"/>
              <w:snapToGrid/>
              <w:spacing w:line="579" w:lineRule="exact"/>
              <w:textAlignment w:val="auto"/>
              <w:rPr>
                <w:rFonts w:hint="default" w:ascii="宋体" w:hAnsi="宋体" w:eastAsia="方正仿宋_GBK" w:cs="方正仿宋_GBK"/>
                <w:color w:val="000000"/>
                <w:kern w:val="0"/>
                <w:sz w:val="24"/>
                <w:szCs w:val="24"/>
                <w:lang w:val="en-US" w:eastAsia="zh-CN"/>
              </w:rPr>
            </w:pPr>
            <w:r>
              <w:rPr>
                <w:rFonts w:hint="eastAsia" w:ascii="宋体" w:hAnsi="宋体" w:eastAsia="方正仿宋_GBK" w:cs="方正仿宋_GBK"/>
                <w:color w:val="000000"/>
                <w:kern w:val="0"/>
                <w:sz w:val="24"/>
                <w:szCs w:val="24"/>
                <w:lang w:val="en-US" w:eastAsia="zh-CN"/>
              </w:rPr>
              <w:t>25</w:t>
            </w:r>
          </w:p>
        </w:tc>
        <w:tc>
          <w:tcPr>
            <w:tcW w:w="1284" w:type="dxa"/>
            <w:gridSpan w:val="2"/>
            <w:tcBorders>
              <w:tl2br w:val="nil"/>
              <w:tr2bl w:val="nil"/>
            </w:tcBorders>
            <w:noWrap w:val="0"/>
            <w:vAlign w:val="center"/>
          </w:tcPr>
          <w:p w14:paraId="560036A1">
            <w:pPr>
              <w:keepNext w:val="0"/>
              <w:keepLines w:val="0"/>
              <w:pageBreakBefore w:val="0"/>
              <w:widowControl/>
              <w:kinsoku/>
              <w:wordWrap/>
              <w:overflowPunct/>
              <w:topLinePunct w:val="0"/>
              <w:autoSpaceDN/>
              <w:bidi w:val="0"/>
              <w:snapToGrid/>
              <w:spacing w:line="579" w:lineRule="exact"/>
              <w:textAlignment w:val="auto"/>
              <w:rPr>
                <w:rFonts w:hint="default" w:ascii="宋体" w:hAnsi="宋体" w:eastAsia="方正仿宋_GBK" w:cs="方正仿宋_GBK"/>
                <w:color w:val="000000"/>
                <w:kern w:val="0"/>
                <w:sz w:val="24"/>
                <w:szCs w:val="24"/>
                <w:lang w:val="en-US" w:eastAsia="zh-CN"/>
              </w:rPr>
            </w:pPr>
            <w:r>
              <w:rPr>
                <w:rFonts w:hint="eastAsia" w:ascii="宋体" w:hAnsi="宋体" w:eastAsia="方正仿宋_GBK" w:cs="方正仿宋_GBK"/>
                <w:color w:val="000000"/>
                <w:kern w:val="0"/>
                <w:sz w:val="24"/>
                <w:szCs w:val="24"/>
                <w:lang w:val="en-US" w:eastAsia="zh-CN"/>
              </w:rPr>
              <w:t>25</w:t>
            </w:r>
          </w:p>
        </w:tc>
        <w:tc>
          <w:tcPr>
            <w:tcW w:w="892" w:type="dxa"/>
            <w:gridSpan w:val="2"/>
            <w:tcBorders>
              <w:tl2br w:val="nil"/>
              <w:tr2bl w:val="nil"/>
            </w:tcBorders>
            <w:noWrap w:val="0"/>
            <w:vAlign w:val="center"/>
          </w:tcPr>
          <w:p w14:paraId="46806140">
            <w:pPr>
              <w:keepNext w:val="0"/>
              <w:keepLines w:val="0"/>
              <w:pageBreakBefore w:val="0"/>
              <w:widowControl/>
              <w:kinsoku/>
              <w:wordWrap/>
              <w:overflowPunct/>
              <w:topLinePunct w:val="0"/>
              <w:autoSpaceDN/>
              <w:bidi w:val="0"/>
              <w:snapToGrid/>
              <w:spacing w:line="579" w:lineRule="exact"/>
              <w:textAlignment w:val="auto"/>
              <w:rPr>
                <w:rFonts w:hint="eastAsia" w:ascii="宋体" w:hAnsi="宋体" w:eastAsia="方正仿宋_GBK" w:cs="方正仿宋_GBK"/>
                <w:color w:val="000000"/>
                <w:kern w:val="0"/>
                <w:sz w:val="24"/>
                <w:szCs w:val="24"/>
              </w:rPr>
            </w:pPr>
          </w:p>
        </w:tc>
      </w:tr>
      <w:tr w14:paraId="1C77E6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47" w:type="dxa"/>
            <w:tcBorders>
              <w:tl2br w:val="nil"/>
              <w:tr2bl w:val="nil"/>
            </w:tcBorders>
            <w:noWrap w:val="0"/>
            <w:vAlign w:val="center"/>
          </w:tcPr>
          <w:p w14:paraId="1D21A723">
            <w:pPr>
              <w:keepNext w:val="0"/>
              <w:keepLines w:val="0"/>
              <w:pageBreakBefore w:val="0"/>
              <w:widowControl/>
              <w:kinsoku/>
              <w:wordWrap/>
              <w:overflowPunct/>
              <w:topLinePunct w:val="0"/>
              <w:autoSpaceDN/>
              <w:bidi w:val="0"/>
              <w:snapToGrid/>
              <w:spacing w:line="579" w:lineRule="exact"/>
              <w:textAlignment w:val="auto"/>
              <w:rPr>
                <w:rFonts w:hint="eastAsia" w:ascii="宋体" w:hAnsi="宋体" w:eastAsia="方正仿宋_GBK" w:cs="方正仿宋_GBK"/>
                <w:color w:val="000000"/>
                <w:kern w:val="0"/>
                <w:sz w:val="24"/>
                <w:szCs w:val="24"/>
              </w:rPr>
            </w:pPr>
          </w:p>
        </w:tc>
        <w:tc>
          <w:tcPr>
            <w:tcW w:w="756" w:type="dxa"/>
            <w:tcBorders>
              <w:tl2br w:val="nil"/>
              <w:tr2bl w:val="nil"/>
            </w:tcBorders>
            <w:noWrap w:val="0"/>
            <w:vAlign w:val="center"/>
          </w:tcPr>
          <w:p w14:paraId="51009E65">
            <w:pPr>
              <w:keepNext w:val="0"/>
              <w:keepLines w:val="0"/>
              <w:pageBreakBefore w:val="0"/>
              <w:widowControl/>
              <w:kinsoku/>
              <w:wordWrap/>
              <w:overflowPunct/>
              <w:topLinePunct w:val="0"/>
              <w:autoSpaceDN/>
              <w:bidi w:val="0"/>
              <w:snapToGrid/>
              <w:spacing w:line="579" w:lineRule="exact"/>
              <w:textAlignment w:val="auto"/>
              <w:rPr>
                <w:rFonts w:hint="default" w:ascii="宋体" w:hAnsi="宋体" w:eastAsia="方正仿宋_GBK" w:cs="方正仿宋_GBK"/>
                <w:color w:val="000000"/>
                <w:kern w:val="0"/>
                <w:sz w:val="24"/>
                <w:szCs w:val="24"/>
                <w:lang w:val="en-US" w:eastAsia="zh-CN"/>
              </w:rPr>
            </w:pPr>
            <w:r>
              <w:rPr>
                <w:rFonts w:hint="eastAsia" w:ascii="宋体" w:hAnsi="宋体" w:eastAsia="方正仿宋_GBK" w:cs="方正仿宋_GBK"/>
                <w:color w:val="000000"/>
                <w:kern w:val="0"/>
                <w:sz w:val="24"/>
                <w:szCs w:val="24"/>
                <w:lang w:val="en-US" w:eastAsia="zh-CN"/>
              </w:rPr>
              <w:t>补助政策知晓率</w:t>
            </w:r>
          </w:p>
        </w:tc>
        <w:tc>
          <w:tcPr>
            <w:tcW w:w="708" w:type="dxa"/>
            <w:tcBorders>
              <w:tl2br w:val="nil"/>
              <w:tr2bl w:val="nil"/>
            </w:tcBorders>
            <w:noWrap w:val="0"/>
            <w:vAlign w:val="center"/>
          </w:tcPr>
          <w:p w14:paraId="1B74B15F">
            <w:pPr>
              <w:keepNext w:val="0"/>
              <w:keepLines w:val="0"/>
              <w:pageBreakBefore w:val="0"/>
              <w:widowControl/>
              <w:kinsoku/>
              <w:wordWrap/>
              <w:overflowPunct/>
              <w:topLinePunct w:val="0"/>
              <w:autoSpaceDN/>
              <w:bidi w:val="0"/>
              <w:snapToGrid/>
              <w:spacing w:line="579" w:lineRule="exact"/>
              <w:textAlignment w:val="auto"/>
              <w:rPr>
                <w:rFonts w:hint="default" w:ascii="宋体" w:hAnsi="宋体" w:eastAsia="方正仿宋_GBK" w:cs="方正仿宋_GBK"/>
                <w:color w:val="000000"/>
                <w:kern w:val="0"/>
                <w:sz w:val="24"/>
                <w:szCs w:val="24"/>
                <w:lang w:val="en-US" w:eastAsia="zh-CN"/>
              </w:rPr>
            </w:pPr>
            <w:r>
              <w:rPr>
                <w:rFonts w:hint="eastAsia" w:ascii="宋体" w:hAnsi="宋体" w:eastAsia="方正仿宋_GBK" w:cs="方正仿宋_GBK"/>
                <w:color w:val="000000"/>
                <w:kern w:val="0"/>
                <w:sz w:val="24"/>
                <w:szCs w:val="24"/>
                <w:lang w:val="en-US" w:eastAsia="zh-CN"/>
              </w:rPr>
              <w:t>%</w:t>
            </w:r>
          </w:p>
        </w:tc>
        <w:tc>
          <w:tcPr>
            <w:tcW w:w="709" w:type="dxa"/>
            <w:tcBorders>
              <w:tl2br w:val="nil"/>
              <w:tr2bl w:val="nil"/>
            </w:tcBorders>
            <w:noWrap w:val="0"/>
            <w:vAlign w:val="center"/>
          </w:tcPr>
          <w:p w14:paraId="689D31BB">
            <w:pPr>
              <w:keepNext w:val="0"/>
              <w:keepLines w:val="0"/>
              <w:pageBreakBefore w:val="0"/>
              <w:widowControl/>
              <w:kinsoku/>
              <w:wordWrap/>
              <w:overflowPunct/>
              <w:topLinePunct w:val="0"/>
              <w:autoSpaceDN/>
              <w:bidi w:val="0"/>
              <w:snapToGrid/>
              <w:spacing w:line="579" w:lineRule="exact"/>
              <w:textAlignment w:val="auto"/>
              <w:rPr>
                <w:rFonts w:hint="default" w:ascii="Arial" w:hAnsi="Arial" w:eastAsia="方正仿宋_GBK" w:cs="Arial"/>
                <w:color w:val="000000"/>
                <w:kern w:val="0"/>
                <w:sz w:val="24"/>
                <w:szCs w:val="24"/>
              </w:rPr>
            </w:pPr>
            <w:r>
              <w:rPr>
                <w:rFonts w:hint="default" w:ascii="Arial" w:hAnsi="Arial" w:eastAsia="方正仿宋_GBK" w:cs="Arial"/>
                <w:color w:val="000000"/>
                <w:kern w:val="0"/>
                <w:sz w:val="24"/>
                <w:szCs w:val="24"/>
              </w:rPr>
              <w:t>≥</w:t>
            </w:r>
          </w:p>
        </w:tc>
        <w:tc>
          <w:tcPr>
            <w:tcW w:w="844" w:type="dxa"/>
            <w:gridSpan w:val="2"/>
            <w:tcBorders>
              <w:tl2br w:val="nil"/>
              <w:tr2bl w:val="nil"/>
            </w:tcBorders>
            <w:noWrap w:val="0"/>
            <w:vAlign w:val="center"/>
          </w:tcPr>
          <w:p w14:paraId="44DA061B">
            <w:pPr>
              <w:keepNext w:val="0"/>
              <w:keepLines w:val="0"/>
              <w:pageBreakBefore w:val="0"/>
              <w:widowControl/>
              <w:kinsoku/>
              <w:wordWrap/>
              <w:overflowPunct/>
              <w:topLinePunct w:val="0"/>
              <w:autoSpaceDN/>
              <w:bidi w:val="0"/>
              <w:snapToGrid/>
              <w:spacing w:line="579" w:lineRule="exact"/>
              <w:textAlignment w:val="auto"/>
              <w:rPr>
                <w:rFonts w:hint="default" w:ascii="宋体" w:hAnsi="宋体" w:eastAsia="方正仿宋_GBK" w:cs="方正仿宋_GBK"/>
                <w:color w:val="000000"/>
                <w:kern w:val="0"/>
                <w:sz w:val="24"/>
                <w:szCs w:val="24"/>
                <w:lang w:val="en-US" w:eastAsia="zh-CN"/>
              </w:rPr>
            </w:pPr>
            <w:r>
              <w:rPr>
                <w:rFonts w:hint="eastAsia" w:ascii="宋体" w:hAnsi="宋体" w:eastAsia="方正仿宋_GBK" w:cs="方正仿宋_GBK"/>
                <w:color w:val="000000"/>
                <w:kern w:val="0"/>
                <w:sz w:val="24"/>
                <w:szCs w:val="24"/>
                <w:lang w:val="en-US" w:eastAsia="zh-CN"/>
              </w:rPr>
              <w:t>100</w:t>
            </w:r>
          </w:p>
        </w:tc>
        <w:tc>
          <w:tcPr>
            <w:tcW w:w="972" w:type="dxa"/>
            <w:gridSpan w:val="2"/>
            <w:tcBorders>
              <w:tl2br w:val="nil"/>
              <w:tr2bl w:val="nil"/>
            </w:tcBorders>
            <w:noWrap w:val="0"/>
            <w:vAlign w:val="center"/>
          </w:tcPr>
          <w:p w14:paraId="2816ED37">
            <w:pPr>
              <w:keepNext w:val="0"/>
              <w:keepLines w:val="0"/>
              <w:pageBreakBefore w:val="0"/>
              <w:widowControl/>
              <w:kinsoku/>
              <w:wordWrap/>
              <w:overflowPunct/>
              <w:topLinePunct w:val="0"/>
              <w:autoSpaceDN/>
              <w:bidi w:val="0"/>
              <w:snapToGrid/>
              <w:spacing w:line="579" w:lineRule="exact"/>
              <w:textAlignment w:val="auto"/>
              <w:rPr>
                <w:rFonts w:hint="default" w:ascii="宋体" w:hAnsi="宋体" w:eastAsia="方正仿宋_GBK" w:cs="方正仿宋_GBK"/>
                <w:color w:val="000000"/>
                <w:kern w:val="0"/>
                <w:sz w:val="24"/>
                <w:szCs w:val="24"/>
                <w:lang w:val="en-US" w:eastAsia="zh-CN"/>
              </w:rPr>
            </w:pPr>
            <w:r>
              <w:rPr>
                <w:rFonts w:hint="eastAsia" w:ascii="宋体" w:hAnsi="宋体" w:eastAsia="方正仿宋_GBK" w:cs="方正仿宋_GBK"/>
                <w:color w:val="000000"/>
                <w:kern w:val="0"/>
                <w:sz w:val="24"/>
                <w:szCs w:val="24"/>
                <w:lang w:val="en-US" w:eastAsia="zh-CN"/>
              </w:rPr>
              <w:t>100</w:t>
            </w:r>
          </w:p>
        </w:tc>
        <w:tc>
          <w:tcPr>
            <w:tcW w:w="1024" w:type="dxa"/>
            <w:tcBorders>
              <w:tl2br w:val="nil"/>
              <w:tr2bl w:val="nil"/>
            </w:tcBorders>
            <w:noWrap w:val="0"/>
            <w:vAlign w:val="center"/>
          </w:tcPr>
          <w:p w14:paraId="1CDEC562">
            <w:pPr>
              <w:keepNext w:val="0"/>
              <w:keepLines w:val="0"/>
              <w:pageBreakBefore w:val="0"/>
              <w:widowControl/>
              <w:kinsoku/>
              <w:wordWrap/>
              <w:overflowPunct/>
              <w:topLinePunct w:val="0"/>
              <w:autoSpaceDN/>
              <w:bidi w:val="0"/>
              <w:snapToGrid/>
              <w:spacing w:line="579" w:lineRule="exact"/>
              <w:textAlignment w:val="auto"/>
              <w:rPr>
                <w:rFonts w:hint="eastAsia" w:ascii="宋体" w:hAnsi="宋体" w:eastAsia="方正仿宋_GBK" w:cs="方正仿宋_GBK"/>
                <w:color w:val="000000"/>
                <w:kern w:val="0"/>
                <w:sz w:val="24"/>
                <w:szCs w:val="24"/>
              </w:rPr>
            </w:pPr>
          </w:p>
        </w:tc>
        <w:tc>
          <w:tcPr>
            <w:tcW w:w="1080" w:type="dxa"/>
            <w:gridSpan w:val="2"/>
            <w:tcBorders>
              <w:tl2br w:val="nil"/>
              <w:tr2bl w:val="nil"/>
            </w:tcBorders>
            <w:noWrap w:val="0"/>
            <w:vAlign w:val="center"/>
          </w:tcPr>
          <w:p w14:paraId="7DD4AB34">
            <w:pPr>
              <w:keepNext w:val="0"/>
              <w:keepLines w:val="0"/>
              <w:pageBreakBefore w:val="0"/>
              <w:widowControl/>
              <w:kinsoku/>
              <w:wordWrap/>
              <w:overflowPunct/>
              <w:topLinePunct w:val="0"/>
              <w:autoSpaceDN/>
              <w:bidi w:val="0"/>
              <w:snapToGrid/>
              <w:spacing w:line="579" w:lineRule="exact"/>
              <w:textAlignment w:val="auto"/>
              <w:rPr>
                <w:rFonts w:hint="default" w:ascii="宋体" w:hAnsi="宋体" w:eastAsia="方正仿宋_GBK" w:cs="方正仿宋_GBK"/>
                <w:color w:val="000000"/>
                <w:kern w:val="0"/>
                <w:sz w:val="24"/>
                <w:szCs w:val="24"/>
                <w:lang w:val="en-US" w:eastAsia="zh-CN"/>
              </w:rPr>
            </w:pPr>
            <w:r>
              <w:rPr>
                <w:rFonts w:hint="eastAsia" w:ascii="宋体" w:hAnsi="宋体" w:eastAsia="方正仿宋_GBK" w:cs="方正仿宋_GBK"/>
                <w:color w:val="000000"/>
                <w:kern w:val="0"/>
                <w:sz w:val="24"/>
                <w:szCs w:val="24"/>
                <w:lang w:val="en-US" w:eastAsia="zh-CN"/>
              </w:rPr>
              <w:t>100</w:t>
            </w:r>
          </w:p>
        </w:tc>
        <w:tc>
          <w:tcPr>
            <w:tcW w:w="1092" w:type="dxa"/>
            <w:gridSpan w:val="2"/>
            <w:tcBorders>
              <w:tl2br w:val="nil"/>
              <w:tr2bl w:val="nil"/>
            </w:tcBorders>
            <w:noWrap w:val="0"/>
            <w:vAlign w:val="center"/>
          </w:tcPr>
          <w:p w14:paraId="0D17C33A">
            <w:pPr>
              <w:keepNext w:val="0"/>
              <w:keepLines w:val="0"/>
              <w:pageBreakBefore w:val="0"/>
              <w:widowControl/>
              <w:kinsoku/>
              <w:wordWrap/>
              <w:overflowPunct/>
              <w:topLinePunct w:val="0"/>
              <w:autoSpaceDN/>
              <w:bidi w:val="0"/>
              <w:snapToGrid/>
              <w:spacing w:line="579" w:lineRule="exact"/>
              <w:textAlignment w:val="auto"/>
              <w:rPr>
                <w:rFonts w:hint="default" w:ascii="宋体" w:hAnsi="宋体" w:eastAsia="方正仿宋_GBK" w:cs="方正仿宋_GBK"/>
                <w:color w:val="000000"/>
                <w:kern w:val="0"/>
                <w:sz w:val="24"/>
                <w:szCs w:val="24"/>
                <w:lang w:val="en-US" w:eastAsia="zh-CN"/>
              </w:rPr>
            </w:pPr>
            <w:r>
              <w:rPr>
                <w:rFonts w:hint="eastAsia" w:ascii="宋体" w:hAnsi="宋体" w:eastAsia="方正仿宋_GBK" w:cs="方正仿宋_GBK"/>
                <w:color w:val="000000"/>
                <w:kern w:val="0"/>
                <w:sz w:val="24"/>
                <w:szCs w:val="24"/>
                <w:lang w:val="en-US" w:eastAsia="zh-CN"/>
              </w:rPr>
              <w:t>20</w:t>
            </w:r>
          </w:p>
        </w:tc>
        <w:tc>
          <w:tcPr>
            <w:tcW w:w="1284" w:type="dxa"/>
            <w:gridSpan w:val="2"/>
            <w:tcBorders>
              <w:tl2br w:val="nil"/>
              <w:tr2bl w:val="nil"/>
            </w:tcBorders>
            <w:noWrap w:val="0"/>
            <w:vAlign w:val="center"/>
          </w:tcPr>
          <w:p w14:paraId="304C2579">
            <w:pPr>
              <w:keepNext w:val="0"/>
              <w:keepLines w:val="0"/>
              <w:pageBreakBefore w:val="0"/>
              <w:widowControl/>
              <w:kinsoku/>
              <w:wordWrap/>
              <w:overflowPunct/>
              <w:topLinePunct w:val="0"/>
              <w:autoSpaceDN/>
              <w:bidi w:val="0"/>
              <w:snapToGrid/>
              <w:spacing w:line="579" w:lineRule="exact"/>
              <w:textAlignment w:val="auto"/>
              <w:rPr>
                <w:rFonts w:hint="default" w:ascii="宋体" w:hAnsi="宋体" w:eastAsia="方正仿宋_GBK" w:cs="方正仿宋_GBK"/>
                <w:color w:val="000000"/>
                <w:kern w:val="0"/>
                <w:sz w:val="24"/>
                <w:szCs w:val="24"/>
                <w:lang w:val="en-US" w:eastAsia="zh-CN"/>
              </w:rPr>
            </w:pPr>
            <w:r>
              <w:rPr>
                <w:rFonts w:hint="eastAsia" w:ascii="宋体" w:hAnsi="宋体" w:eastAsia="方正仿宋_GBK" w:cs="方正仿宋_GBK"/>
                <w:color w:val="000000"/>
                <w:kern w:val="0"/>
                <w:sz w:val="24"/>
                <w:szCs w:val="24"/>
                <w:lang w:val="en-US" w:eastAsia="zh-CN"/>
              </w:rPr>
              <w:t>20</w:t>
            </w:r>
          </w:p>
        </w:tc>
        <w:tc>
          <w:tcPr>
            <w:tcW w:w="892" w:type="dxa"/>
            <w:gridSpan w:val="2"/>
            <w:tcBorders>
              <w:tl2br w:val="nil"/>
              <w:tr2bl w:val="nil"/>
            </w:tcBorders>
            <w:noWrap w:val="0"/>
            <w:vAlign w:val="center"/>
          </w:tcPr>
          <w:p w14:paraId="17137823">
            <w:pPr>
              <w:keepNext w:val="0"/>
              <w:keepLines w:val="0"/>
              <w:pageBreakBefore w:val="0"/>
              <w:widowControl/>
              <w:kinsoku/>
              <w:wordWrap/>
              <w:overflowPunct/>
              <w:topLinePunct w:val="0"/>
              <w:autoSpaceDN/>
              <w:bidi w:val="0"/>
              <w:snapToGrid/>
              <w:spacing w:line="579" w:lineRule="exact"/>
              <w:textAlignment w:val="auto"/>
              <w:rPr>
                <w:rFonts w:hint="eastAsia" w:ascii="宋体" w:hAnsi="宋体" w:eastAsia="方正仿宋_GBK" w:cs="方正仿宋_GBK"/>
                <w:color w:val="000000"/>
                <w:kern w:val="0"/>
                <w:sz w:val="24"/>
                <w:szCs w:val="24"/>
              </w:rPr>
            </w:pPr>
          </w:p>
        </w:tc>
      </w:tr>
      <w:tr w14:paraId="6BA800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47" w:type="dxa"/>
            <w:tcBorders>
              <w:tl2br w:val="nil"/>
              <w:tr2bl w:val="nil"/>
            </w:tcBorders>
            <w:noWrap w:val="0"/>
            <w:vAlign w:val="center"/>
          </w:tcPr>
          <w:p w14:paraId="3E87CD16">
            <w:pPr>
              <w:keepNext w:val="0"/>
              <w:keepLines w:val="0"/>
              <w:pageBreakBefore w:val="0"/>
              <w:widowControl/>
              <w:kinsoku/>
              <w:wordWrap/>
              <w:overflowPunct/>
              <w:topLinePunct w:val="0"/>
              <w:autoSpaceDN/>
              <w:bidi w:val="0"/>
              <w:snapToGrid/>
              <w:spacing w:line="579" w:lineRule="exact"/>
              <w:textAlignment w:val="auto"/>
              <w:rPr>
                <w:rFonts w:hint="eastAsia" w:ascii="宋体" w:hAnsi="宋体" w:eastAsia="方正仿宋_GBK" w:cs="方正仿宋_GBK"/>
                <w:color w:val="000000"/>
                <w:kern w:val="0"/>
                <w:sz w:val="24"/>
                <w:szCs w:val="24"/>
              </w:rPr>
            </w:pPr>
          </w:p>
        </w:tc>
        <w:tc>
          <w:tcPr>
            <w:tcW w:w="756" w:type="dxa"/>
            <w:tcBorders>
              <w:tl2br w:val="nil"/>
              <w:tr2bl w:val="nil"/>
            </w:tcBorders>
            <w:noWrap w:val="0"/>
            <w:vAlign w:val="center"/>
          </w:tcPr>
          <w:p w14:paraId="7E705E45">
            <w:pPr>
              <w:keepNext w:val="0"/>
              <w:keepLines w:val="0"/>
              <w:pageBreakBefore w:val="0"/>
              <w:widowControl/>
              <w:kinsoku/>
              <w:wordWrap/>
              <w:overflowPunct/>
              <w:topLinePunct w:val="0"/>
              <w:autoSpaceDN/>
              <w:bidi w:val="0"/>
              <w:snapToGrid/>
              <w:spacing w:line="579" w:lineRule="exact"/>
              <w:textAlignment w:val="auto"/>
              <w:rPr>
                <w:rFonts w:hint="default" w:ascii="宋体" w:hAnsi="宋体" w:eastAsia="方正仿宋_GBK" w:cs="方正仿宋_GBK"/>
                <w:color w:val="000000"/>
                <w:kern w:val="0"/>
                <w:sz w:val="24"/>
                <w:szCs w:val="24"/>
                <w:lang w:val="en-US" w:eastAsia="zh-CN"/>
              </w:rPr>
            </w:pPr>
            <w:r>
              <w:rPr>
                <w:rFonts w:hint="eastAsia" w:ascii="宋体" w:hAnsi="宋体" w:eastAsia="方正仿宋_GBK" w:cs="方正仿宋_GBK"/>
                <w:color w:val="000000"/>
                <w:kern w:val="0"/>
                <w:sz w:val="24"/>
                <w:szCs w:val="24"/>
                <w:lang w:val="en-US" w:eastAsia="zh-CN"/>
              </w:rPr>
              <w:t>运行保障率</w:t>
            </w:r>
          </w:p>
        </w:tc>
        <w:tc>
          <w:tcPr>
            <w:tcW w:w="708" w:type="dxa"/>
            <w:tcBorders>
              <w:tl2br w:val="nil"/>
              <w:tr2bl w:val="nil"/>
            </w:tcBorders>
            <w:noWrap w:val="0"/>
            <w:vAlign w:val="center"/>
          </w:tcPr>
          <w:p w14:paraId="73D44069">
            <w:pPr>
              <w:keepNext w:val="0"/>
              <w:keepLines w:val="0"/>
              <w:pageBreakBefore w:val="0"/>
              <w:widowControl/>
              <w:kinsoku/>
              <w:wordWrap/>
              <w:overflowPunct/>
              <w:topLinePunct w:val="0"/>
              <w:autoSpaceDN/>
              <w:bidi w:val="0"/>
              <w:snapToGrid/>
              <w:spacing w:line="579" w:lineRule="exact"/>
              <w:textAlignment w:val="auto"/>
              <w:rPr>
                <w:rFonts w:hint="eastAsia" w:ascii="宋体" w:hAnsi="宋体" w:eastAsia="方正仿宋_GBK" w:cs="方正仿宋_GBK"/>
                <w:color w:val="000000"/>
                <w:kern w:val="0"/>
                <w:sz w:val="24"/>
                <w:szCs w:val="24"/>
                <w:lang w:val="en-US" w:eastAsia="zh-CN"/>
              </w:rPr>
            </w:pPr>
            <w:r>
              <w:rPr>
                <w:rFonts w:hint="eastAsia" w:ascii="宋体" w:hAnsi="宋体" w:eastAsia="方正仿宋_GBK" w:cs="方正仿宋_GBK"/>
                <w:color w:val="000000"/>
                <w:kern w:val="0"/>
                <w:sz w:val="24"/>
                <w:szCs w:val="24"/>
                <w:lang w:val="en-US" w:eastAsia="zh-CN"/>
              </w:rPr>
              <w:t>%</w:t>
            </w:r>
          </w:p>
        </w:tc>
        <w:tc>
          <w:tcPr>
            <w:tcW w:w="709" w:type="dxa"/>
            <w:tcBorders>
              <w:tl2br w:val="nil"/>
              <w:tr2bl w:val="nil"/>
            </w:tcBorders>
            <w:noWrap w:val="0"/>
            <w:vAlign w:val="center"/>
          </w:tcPr>
          <w:p w14:paraId="7AA6B49D">
            <w:pPr>
              <w:keepNext w:val="0"/>
              <w:keepLines w:val="0"/>
              <w:pageBreakBefore w:val="0"/>
              <w:widowControl/>
              <w:kinsoku/>
              <w:wordWrap/>
              <w:overflowPunct/>
              <w:topLinePunct w:val="0"/>
              <w:autoSpaceDN/>
              <w:bidi w:val="0"/>
              <w:snapToGrid/>
              <w:spacing w:line="579" w:lineRule="exact"/>
              <w:textAlignment w:val="auto"/>
              <w:rPr>
                <w:rFonts w:hint="default" w:ascii="Arial" w:hAnsi="Arial" w:eastAsia="方正仿宋_GBK" w:cs="Arial"/>
                <w:color w:val="000000"/>
                <w:kern w:val="0"/>
                <w:sz w:val="24"/>
                <w:szCs w:val="24"/>
              </w:rPr>
            </w:pPr>
            <w:r>
              <w:rPr>
                <w:rFonts w:hint="default" w:ascii="Arial" w:hAnsi="Arial" w:eastAsia="方正仿宋_GBK" w:cs="Arial"/>
                <w:color w:val="000000"/>
                <w:kern w:val="0"/>
                <w:sz w:val="24"/>
                <w:szCs w:val="24"/>
              </w:rPr>
              <w:t>≥</w:t>
            </w:r>
          </w:p>
        </w:tc>
        <w:tc>
          <w:tcPr>
            <w:tcW w:w="844" w:type="dxa"/>
            <w:gridSpan w:val="2"/>
            <w:tcBorders>
              <w:tl2br w:val="nil"/>
              <w:tr2bl w:val="nil"/>
            </w:tcBorders>
            <w:noWrap w:val="0"/>
            <w:vAlign w:val="center"/>
          </w:tcPr>
          <w:p w14:paraId="08238A52">
            <w:pPr>
              <w:keepNext w:val="0"/>
              <w:keepLines w:val="0"/>
              <w:pageBreakBefore w:val="0"/>
              <w:widowControl/>
              <w:kinsoku/>
              <w:wordWrap/>
              <w:overflowPunct/>
              <w:topLinePunct w:val="0"/>
              <w:autoSpaceDN/>
              <w:bidi w:val="0"/>
              <w:snapToGrid/>
              <w:spacing w:line="579" w:lineRule="exact"/>
              <w:textAlignment w:val="auto"/>
              <w:rPr>
                <w:rFonts w:hint="default" w:ascii="宋体" w:hAnsi="宋体" w:eastAsia="方正仿宋_GBK" w:cs="方正仿宋_GBK"/>
                <w:color w:val="000000"/>
                <w:kern w:val="0"/>
                <w:sz w:val="24"/>
                <w:szCs w:val="24"/>
                <w:lang w:val="en-US" w:eastAsia="zh-CN"/>
              </w:rPr>
            </w:pPr>
            <w:r>
              <w:rPr>
                <w:rFonts w:hint="eastAsia" w:ascii="宋体" w:hAnsi="宋体" w:eastAsia="方正仿宋_GBK" w:cs="方正仿宋_GBK"/>
                <w:color w:val="000000"/>
                <w:kern w:val="0"/>
                <w:sz w:val="24"/>
                <w:szCs w:val="24"/>
                <w:lang w:val="en-US" w:eastAsia="zh-CN"/>
              </w:rPr>
              <w:t>80</w:t>
            </w:r>
          </w:p>
        </w:tc>
        <w:tc>
          <w:tcPr>
            <w:tcW w:w="972" w:type="dxa"/>
            <w:gridSpan w:val="2"/>
            <w:tcBorders>
              <w:tl2br w:val="nil"/>
              <w:tr2bl w:val="nil"/>
            </w:tcBorders>
            <w:noWrap w:val="0"/>
            <w:vAlign w:val="center"/>
          </w:tcPr>
          <w:p w14:paraId="1477258A">
            <w:pPr>
              <w:keepNext w:val="0"/>
              <w:keepLines w:val="0"/>
              <w:pageBreakBefore w:val="0"/>
              <w:widowControl/>
              <w:kinsoku/>
              <w:wordWrap/>
              <w:overflowPunct/>
              <w:topLinePunct w:val="0"/>
              <w:autoSpaceDN/>
              <w:bidi w:val="0"/>
              <w:snapToGrid/>
              <w:spacing w:line="579" w:lineRule="exact"/>
              <w:textAlignment w:val="auto"/>
              <w:rPr>
                <w:rFonts w:hint="default" w:ascii="宋体" w:hAnsi="宋体" w:eastAsia="方正仿宋_GBK" w:cs="方正仿宋_GBK"/>
                <w:color w:val="000000"/>
                <w:kern w:val="0"/>
                <w:sz w:val="24"/>
                <w:szCs w:val="24"/>
                <w:lang w:val="en-US" w:eastAsia="zh-CN"/>
              </w:rPr>
            </w:pPr>
            <w:r>
              <w:rPr>
                <w:rFonts w:hint="eastAsia" w:ascii="宋体" w:hAnsi="宋体" w:eastAsia="方正仿宋_GBK" w:cs="方正仿宋_GBK"/>
                <w:color w:val="000000"/>
                <w:kern w:val="0"/>
                <w:sz w:val="24"/>
                <w:szCs w:val="24"/>
                <w:lang w:val="en-US" w:eastAsia="zh-CN"/>
              </w:rPr>
              <w:t>80</w:t>
            </w:r>
          </w:p>
        </w:tc>
        <w:tc>
          <w:tcPr>
            <w:tcW w:w="1024" w:type="dxa"/>
            <w:tcBorders>
              <w:tl2br w:val="nil"/>
              <w:tr2bl w:val="nil"/>
            </w:tcBorders>
            <w:noWrap w:val="0"/>
            <w:vAlign w:val="center"/>
          </w:tcPr>
          <w:p w14:paraId="6AE35102">
            <w:pPr>
              <w:keepNext w:val="0"/>
              <w:keepLines w:val="0"/>
              <w:pageBreakBefore w:val="0"/>
              <w:widowControl/>
              <w:kinsoku/>
              <w:wordWrap/>
              <w:overflowPunct/>
              <w:topLinePunct w:val="0"/>
              <w:autoSpaceDN/>
              <w:bidi w:val="0"/>
              <w:snapToGrid/>
              <w:spacing w:line="579" w:lineRule="exact"/>
              <w:textAlignment w:val="auto"/>
              <w:rPr>
                <w:rFonts w:hint="eastAsia" w:ascii="宋体" w:hAnsi="宋体" w:eastAsia="方正仿宋_GBK" w:cs="方正仿宋_GBK"/>
                <w:color w:val="000000"/>
                <w:kern w:val="0"/>
                <w:sz w:val="24"/>
                <w:szCs w:val="24"/>
              </w:rPr>
            </w:pPr>
          </w:p>
        </w:tc>
        <w:tc>
          <w:tcPr>
            <w:tcW w:w="1080" w:type="dxa"/>
            <w:gridSpan w:val="2"/>
            <w:tcBorders>
              <w:tl2br w:val="nil"/>
              <w:tr2bl w:val="nil"/>
            </w:tcBorders>
            <w:noWrap w:val="0"/>
            <w:vAlign w:val="center"/>
          </w:tcPr>
          <w:p w14:paraId="15FD26C5">
            <w:pPr>
              <w:keepNext w:val="0"/>
              <w:keepLines w:val="0"/>
              <w:pageBreakBefore w:val="0"/>
              <w:widowControl/>
              <w:kinsoku/>
              <w:wordWrap/>
              <w:overflowPunct/>
              <w:topLinePunct w:val="0"/>
              <w:autoSpaceDN/>
              <w:bidi w:val="0"/>
              <w:snapToGrid/>
              <w:spacing w:line="579" w:lineRule="exact"/>
              <w:textAlignment w:val="auto"/>
              <w:rPr>
                <w:rFonts w:hint="default" w:ascii="宋体" w:hAnsi="宋体" w:eastAsia="方正仿宋_GBK" w:cs="方正仿宋_GBK"/>
                <w:color w:val="000000"/>
                <w:kern w:val="0"/>
                <w:sz w:val="24"/>
                <w:szCs w:val="24"/>
                <w:lang w:val="en-US" w:eastAsia="zh-CN"/>
              </w:rPr>
            </w:pPr>
            <w:r>
              <w:rPr>
                <w:rFonts w:hint="eastAsia" w:ascii="宋体" w:hAnsi="宋体" w:eastAsia="方正仿宋_GBK" w:cs="方正仿宋_GBK"/>
                <w:color w:val="000000"/>
                <w:kern w:val="0"/>
                <w:sz w:val="24"/>
                <w:szCs w:val="24"/>
                <w:lang w:val="en-US" w:eastAsia="zh-CN"/>
              </w:rPr>
              <w:t>100</w:t>
            </w:r>
          </w:p>
        </w:tc>
        <w:tc>
          <w:tcPr>
            <w:tcW w:w="1092" w:type="dxa"/>
            <w:gridSpan w:val="2"/>
            <w:tcBorders>
              <w:tl2br w:val="nil"/>
              <w:tr2bl w:val="nil"/>
            </w:tcBorders>
            <w:noWrap w:val="0"/>
            <w:vAlign w:val="center"/>
          </w:tcPr>
          <w:p w14:paraId="5CC77072">
            <w:pPr>
              <w:keepNext w:val="0"/>
              <w:keepLines w:val="0"/>
              <w:pageBreakBefore w:val="0"/>
              <w:widowControl/>
              <w:kinsoku/>
              <w:wordWrap/>
              <w:overflowPunct/>
              <w:topLinePunct w:val="0"/>
              <w:autoSpaceDN/>
              <w:bidi w:val="0"/>
              <w:snapToGrid/>
              <w:spacing w:line="579" w:lineRule="exact"/>
              <w:textAlignment w:val="auto"/>
              <w:rPr>
                <w:rFonts w:hint="default" w:ascii="宋体" w:hAnsi="宋体" w:eastAsia="方正仿宋_GBK" w:cs="方正仿宋_GBK"/>
                <w:color w:val="000000"/>
                <w:kern w:val="0"/>
                <w:sz w:val="24"/>
                <w:szCs w:val="24"/>
                <w:lang w:val="en-US" w:eastAsia="zh-CN"/>
              </w:rPr>
            </w:pPr>
            <w:r>
              <w:rPr>
                <w:rFonts w:hint="eastAsia" w:ascii="宋体" w:hAnsi="宋体" w:eastAsia="方正仿宋_GBK" w:cs="方正仿宋_GBK"/>
                <w:color w:val="000000"/>
                <w:kern w:val="0"/>
                <w:sz w:val="24"/>
                <w:szCs w:val="24"/>
                <w:lang w:val="en-US" w:eastAsia="zh-CN"/>
              </w:rPr>
              <w:t>20</w:t>
            </w:r>
          </w:p>
        </w:tc>
        <w:tc>
          <w:tcPr>
            <w:tcW w:w="1284" w:type="dxa"/>
            <w:gridSpan w:val="2"/>
            <w:tcBorders>
              <w:tl2br w:val="nil"/>
              <w:tr2bl w:val="nil"/>
            </w:tcBorders>
            <w:noWrap w:val="0"/>
            <w:vAlign w:val="center"/>
          </w:tcPr>
          <w:p w14:paraId="405DDBAB">
            <w:pPr>
              <w:keepNext w:val="0"/>
              <w:keepLines w:val="0"/>
              <w:pageBreakBefore w:val="0"/>
              <w:widowControl/>
              <w:kinsoku/>
              <w:wordWrap/>
              <w:overflowPunct/>
              <w:topLinePunct w:val="0"/>
              <w:autoSpaceDN/>
              <w:bidi w:val="0"/>
              <w:snapToGrid/>
              <w:spacing w:line="579" w:lineRule="exact"/>
              <w:textAlignment w:val="auto"/>
              <w:rPr>
                <w:rFonts w:hint="default" w:ascii="宋体" w:hAnsi="宋体" w:eastAsia="方正仿宋_GBK" w:cs="方正仿宋_GBK"/>
                <w:color w:val="000000"/>
                <w:kern w:val="0"/>
                <w:sz w:val="24"/>
                <w:szCs w:val="24"/>
                <w:lang w:val="en-US" w:eastAsia="zh-CN"/>
              </w:rPr>
            </w:pPr>
            <w:r>
              <w:rPr>
                <w:rFonts w:hint="eastAsia" w:ascii="宋体" w:hAnsi="宋体" w:eastAsia="方正仿宋_GBK" w:cs="方正仿宋_GBK"/>
                <w:color w:val="000000"/>
                <w:kern w:val="0"/>
                <w:sz w:val="24"/>
                <w:szCs w:val="24"/>
                <w:lang w:val="en-US" w:eastAsia="zh-CN"/>
              </w:rPr>
              <w:t>20</w:t>
            </w:r>
          </w:p>
        </w:tc>
        <w:tc>
          <w:tcPr>
            <w:tcW w:w="892" w:type="dxa"/>
            <w:gridSpan w:val="2"/>
            <w:tcBorders>
              <w:tl2br w:val="nil"/>
              <w:tr2bl w:val="nil"/>
            </w:tcBorders>
            <w:noWrap w:val="0"/>
            <w:vAlign w:val="center"/>
          </w:tcPr>
          <w:p w14:paraId="57D61796">
            <w:pPr>
              <w:keepNext w:val="0"/>
              <w:keepLines w:val="0"/>
              <w:pageBreakBefore w:val="0"/>
              <w:widowControl/>
              <w:kinsoku/>
              <w:wordWrap/>
              <w:overflowPunct/>
              <w:topLinePunct w:val="0"/>
              <w:autoSpaceDN/>
              <w:bidi w:val="0"/>
              <w:snapToGrid/>
              <w:spacing w:line="579" w:lineRule="exact"/>
              <w:textAlignment w:val="auto"/>
              <w:rPr>
                <w:rFonts w:hint="eastAsia" w:ascii="宋体" w:hAnsi="宋体" w:eastAsia="方正仿宋_GBK" w:cs="方正仿宋_GBK"/>
                <w:color w:val="000000"/>
                <w:kern w:val="0"/>
                <w:sz w:val="24"/>
                <w:szCs w:val="24"/>
              </w:rPr>
            </w:pPr>
          </w:p>
        </w:tc>
      </w:tr>
    </w:tbl>
    <w:p w14:paraId="70E50F84">
      <w:pPr>
        <w:pStyle w:val="10"/>
        <w:keepNext w:val="0"/>
        <w:keepLines w:val="0"/>
        <w:pageBreakBefore w:val="0"/>
        <w:widowControl w:val="0"/>
        <w:numPr>
          <w:ilvl w:val="0"/>
          <w:numId w:val="8"/>
        </w:numPr>
        <w:tabs>
          <w:tab w:val="center" w:pos="4153"/>
          <w:tab w:val="left" w:pos="7275"/>
        </w:tabs>
        <w:kinsoku/>
        <w:wordWrap/>
        <w:overflowPunct/>
        <w:topLinePunct w:val="0"/>
        <w:autoSpaceDE/>
        <w:autoSpaceDN/>
        <w:bidi w:val="0"/>
        <w:adjustRightInd/>
        <w:snapToGrid/>
        <w:spacing w:line="579" w:lineRule="exact"/>
        <w:ind w:left="0" w:leftChars="0" w:firstLine="643" w:firstLineChars="200"/>
        <w:textAlignment w:val="auto"/>
        <w:rPr>
          <w:rFonts w:hint="eastAsia" w:ascii="宋体" w:hAnsi="宋体" w:eastAsia="方正仿宋_GBK" w:cs="方正仿宋_GBK"/>
          <w:b/>
          <w:bCs w:val="0"/>
          <w:kern w:val="0"/>
          <w:sz w:val="32"/>
          <w:szCs w:val="32"/>
        </w:rPr>
      </w:pPr>
      <w:r>
        <w:rPr>
          <w:rFonts w:hint="eastAsia" w:ascii="宋体" w:hAnsi="宋体" w:eastAsia="方正仿宋_GBK" w:cs="方正仿宋_GBK"/>
          <w:b/>
          <w:bCs w:val="0"/>
          <w:kern w:val="0"/>
          <w:sz w:val="32"/>
          <w:szCs w:val="32"/>
        </w:rPr>
        <w:t>绩效自评报告或案例</w:t>
      </w:r>
    </w:p>
    <w:p w14:paraId="73554593">
      <w:pPr>
        <w:pStyle w:val="10"/>
        <w:keepNext w:val="0"/>
        <w:keepLines w:val="0"/>
        <w:pageBreakBefore w:val="0"/>
        <w:widowControl w:val="0"/>
        <w:tabs>
          <w:tab w:val="center" w:pos="4153"/>
          <w:tab w:val="left" w:pos="7275"/>
        </w:tabs>
        <w:kinsoku/>
        <w:wordWrap/>
        <w:overflowPunct/>
        <w:topLinePunct w:val="0"/>
        <w:autoSpaceDE/>
        <w:autoSpaceDN/>
        <w:bidi w:val="0"/>
        <w:adjustRightInd/>
        <w:snapToGrid/>
        <w:spacing w:line="579" w:lineRule="exact"/>
        <w:ind w:firstLine="640"/>
        <w:textAlignment w:val="auto"/>
        <w:rPr>
          <w:rFonts w:hint="eastAsia" w:ascii="宋体" w:hAnsi="宋体" w:eastAsia="方正仿宋_GBK" w:cs="方正仿宋_GBK"/>
          <w:kern w:val="0"/>
          <w:sz w:val="32"/>
          <w:szCs w:val="32"/>
          <w:lang w:val="en-US" w:eastAsia="zh-CN"/>
        </w:rPr>
      </w:pPr>
      <w:r>
        <w:rPr>
          <w:rFonts w:hint="eastAsia" w:ascii="宋体" w:hAnsi="宋体" w:eastAsia="方正仿宋_GBK" w:cs="方正仿宋_GBK"/>
          <w:kern w:val="0"/>
          <w:sz w:val="32"/>
          <w:szCs w:val="32"/>
          <w:lang w:val="en-US" w:eastAsia="zh-CN"/>
        </w:rPr>
        <w:t>本单位无此事项。</w:t>
      </w:r>
    </w:p>
    <w:p w14:paraId="6B3D3C80">
      <w:pPr>
        <w:pStyle w:val="10"/>
        <w:keepNext w:val="0"/>
        <w:keepLines w:val="0"/>
        <w:pageBreakBefore w:val="0"/>
        <w:widowControl w:val="0"/>
        <w:numPr>
          <w:ilvl w:val="0"/>
          <w:numId w:val="8"/>
        </w:numPr>
        <w:tabs>
          <w:tab w:val="center" w:pos="4153"/>
          <w:tab w:val="left" w:pos="7275"/>
        </w:tabs>
        <w:kinsoku/>
        <w:wordWrap/>
        <w:overflowPunct/>
        <w:topLinePunct w:val="0"/>
        <w:autoSpaceDE/>
        <w:autoSpaceDN/>
        <w:bidi w:val="0"/>
        <w:adjustRightInd/>
        <w:snapToGrid/>
        <w:spacing w:line="579" w:lineRule="exact"/>
        <w:ind w:left="0" w:leftChars="0" w:firstLine="643" w:firstLineChars="200"/>
        <w:textAlignment w:val="auto"/>
        <w:rPr>
          <w:rFonts w:hint="eastAsia" w:ascii="宋体" w:hAnsi="宋体" w:eastAsia="方正仿宋_GBK" w:cs="方正仿宋_GBK"/>
          <w:b/>
          <w:bCs/>
          <w:color w:val="000000"/>
          <w:kern w:val="0"/>
          <w:sz w:val="32"/>
          <w:szCs w:val="32"/>
        </w:rPr>
      </w:pPr>
      <w:r>
        <w:rPr>
          <w:rFonts w:hint="eastAsia" w:ascii="宋体" w:hAnsi="宋体" w:eastAsia="方正仿宋_GBK" w:cs="方正仿宋_GBK"/>
          <w:b/>
          <w:bCs/>
          <w:color w:val="000000"/>
          <w:kern w:val="0"/>
          <w:sz w:val="32"/>
          <w:szCs w:val="32"/>
        </w:rPr>
        <w:t>关于绩效自评结果的说明</w:t>
      </w:r>
    </w:p>
    <w:p w14:paraId="2FFAB213">
      <w:pPr>
        <w:pStyle w:val="10"/>
        <w:keepNext w:val="0"/>
        <w:keepLines w:val="0"/>
        <w:pageBreakBefore w:val="0"/>
        <w:widowControl w:val="0"/>
        <w:tabs>
          <w:tab w:val="center" w:pos="4153"/>
          <w:tab w:val="left" w:pos="7275"/>
        </w:tabs>
        <w:kinsoku/>
        <w:wordWrap/>
        <w:overflowPunct/>
        <w:topLinePunct w:val="0"/>
        <w:autoSpaceDE/>
        <w:autoSpaceDN/>
        <w:bidi w:val="0"/>
        <w:adjustRightInd/>
        <w:snapToGrid/>
        <w:spacing w:line="579" w:lineRule="exact"/>
        <w:ind w:firstLine="640"/>
        <w:textAlignment w:val="auto"/>
        <w:rPr>
          <w:rFonts w:hint="eastAsia" w:ascii="宋体" w:hAnsi="宋体" w:eastAsia="方正仿宋_GBK" w:cs="方正仿宋_GBK"/>
          <w:kern w:val="0"/>
          <w:sz w:val="32"/>
          <w:szCs w:val="32"/>
          <w:lang w:val="en-US" w:eastAsia="zh-CN"/>
        </w:rPr>
      </w:pPr>
      <w:r>
        <w:rPr>
          <w:rFonts w:hint="eastAsia" w:ascii="宋体" w:hAnsi="宋体" w:eastAsia="方正仿宋_GBK" w:cs="方正仿宋_GBK"/>
          <w:kern w:val="0"/>
          <w:sz w:val="32"/>
          <w:szCs w:val="32"/>
        </w:rPr>
        <w:t>我中心对2</w:t>
      </w:r>
      <w:r>
        <w:rPr>
          <w:rFonts w:hint="eastAsia" w:ascii="宋体" w:hAnsi="宋体" w:eastAsia="方正仿宋_GBK" w:cs="方正仿宋_GBK"/>
          <w:kern w:val="0"/>
          <w:sz w:val="32"/>
          <w:szCs w:val="32"/>
          <w:lang w:val="en-US" w:eastAsia="zh-CN"/>
        </w:rPr>
        <w:t>1</w:t>
      </w:r>
      <w:r>
        <w:rPr>
          <w:rFonts w:hint="eastAsia" w:ascii="宋体" w:hAnsi="宋体" w:eastAsia="方正仿宋_GBK" w:cs="方正仿宋_GBK"/>
          <w:kern w:val="0"/>
          <w:sz w:val="32"/>
          <w:szCs w:val="32"/>
        </w:rPr>
        <w:t>个项目进行绩效自评，</w:t>
      </w:r>
      <w:r>
        <w:rPr>
          <w:rFonts w:hint="eastAsia" w:ascii="宋体" w:hAnsi="宋体" w:eastAsia="方正仿宋_GBK" w:cs="方正仿宋_GBK"/>
          <w:kern w:val="0"/>
          <w:sz w:val="32"/>
          <w:szCs w:val="32"/>
          <w:lang w:val="en-US" w:eastAsia="zh-CN"/>
        </w:rPr>
        <w:t>其中有4个项目未达支付节点</w:t>
      </w:r>
      <w:r>
        <w:rPr>
          <w:rFonts w:hint="eastAsia" w:ascii="宋体" w:hAnsi="宋体" w:eastAsia="方正仿宋_GBK" w:cs="方正仿宋_GBK"/>
          <w:kern w:val="0"/>
          <w:sz w:val="32"/>
          <w:szCs w:val="32"/>
        </w:rPr>
        <w:t>。</w:t>
      </w:r>
      <w:r>
        <w:rPr>
          <w:rFonts w:hint="eastAsia" w:ascii="宋体" w:hAnsi="宋体" w:eastAsia="方正仿宋_GBK" w:cs="方正仿宋_GBK"/>
          <w:kern w:val="0"/>
          <w:sz w:val="32"/>
          <w:szCs w:val="32"/>
          <w:lang w:val="en-US" w:eastAsia="zh-CN"/>
        </w:rPr>
        <w:t>下一步，我中心将持续关注项目绩效完成情况，定期检查项目支付进度情况，提高资金执行效率和使用效益，持续强化项目管理。</w:t>
      </w:r>
    </w:p>
    <w:p w14:paraId="6B9DD14D">
      <w:pPr>
        <w:pStyle w:val="10"/>
        <w:keepNext w:val="0"/>
        <w:keepLines w:val="0"/>
        <w:pageBreakBefore w:val="0"/>
        <w:widowControl w:val="0"/>
        <w:numPr>
          <w:ilvl w:val="0"/>
          <w:numId w:val="2"/>
        </w:numPr>
        <w:tabs>
          <w:tab w:val="center" w:pos="4153"/>
          <w:tab w:val="left" w:pos="7275"/>
        </w:tabs>
        <w:kinsoku/>
        <w:wordWrap/>
        <w:overflowPunct/>
        <w:topLinePunct w:val="0"/>
        <w:autoSpaceDE/>
        <w:autoSpaceDN/>
        <w:bidi w:val="0"/>
        <w:adjustRightInd/>
        <w:snapToGrid/>
        <w:spacing w:line="579" w:lineRule="exact"/>
        <w:ind w:left="0" w:leftChars="0" w:firstLine="640" w:firstLineChars="200"/>
        <w:textAlignment w:val="auto"/>
        <w:outlineLvl w:val="1"/>
        <w:rPr>
          <w:rFonts w:hint="eastAsia" w:ascii="宋体" w:hAnsi="宋体" w:eastAsia="方正楷体_GBK" w:cs="方正楷体_GBK"/>
          <w:color w:val="333333"/>
          <w:sz w:val="32"/>
          <w:szCs w:val="32"/>
        </w:rPr>
      </w:pPr>
      <w:r>
        <w:rPr>
          <w:rFonts w:hint="eastAsia" w:ascii="宋体" w:hAnsi="宋体" w:eastAsia="方正楷体_GBK" w:cs="方正楷体_GBK"/>
          <w:color w:val="333333"/>
          <w:sz w:val="32"/>
          <w:szCs w:val="32"/>
        </w:rPr>
        <w:t>重点绩效评价结果</w:t>
      </w:r>
    </w:p>
    <w:p w14:paraId="067A327C">
      <w:pPr>
        <w:pStyle w:val="10"/>
        <w:keepNext w:val="0"/>
        <w:keepLines w:val="0"/>
        <w:pageBreakBefore w:val="0"/>
        <w:widowControl w:val="0"/>
        <w:numPr>
          <w:ilvl w:val="0"/>
          <w:numId w:val="0"/>
        </w:numPr>
        <w:tabs>
          <w:tab w:val="center" w:pos="4153"/>
          <w:tab w:val="left" w:pos="7275"/>
        </w:tabs>
        <w:kinsoku/>
        <w:wordWrap/>
        <w:overflowPunct/>
        <w:topLinePunct w:val="0"/>
        <w:autoSpaceDE/>
        <w:autoSpaceDN/>
        <w:bidi w:val="0"/>
        <w:adjustRightInd/>
        <w:snapToGrid/>
        <w:spacing w:line="579" w:lineRule="exact"/>
        <w:ind w:leftChars="200"/>
        <w:textAlignment w:val="auto"/>
        <w:outlineLvl w:val="1"/>
        <w:rPr>
          <w:rFonts w:hint="default" w:ascii="宋体" w:hAnsi="宋体" w:eastAsia="方正楷体_GBK" w:cs="方正楷体_GBK"/>
          <w:color w:val="333333"/>
          <w:sz w:val="32"/>
          <w:szCs w:val="32"/>
          <w:lang w:val="en-US" w:eastAsia="zh-CN"/>
        </w:rPr>
      </w:pPr>
      <w:r>
        <w:rPr>
          <w:rFonts w:hint="eastAsia" w:ascii="宋体" w:hAnsi="宋体" w:eastAsia="方正楷体_GBK" w:cs="方正楷体_GBK"/>
          <w:color w:val="333333"/>
          <w:sz w:val="32"/>
          <w:szCs w:val="32"/>
          <w:lang w:val="en-US" w:eastAsia="zh-CN"/>
        </w:rPr>
        <w:t xml:space="preserve">  </w:t>
      </w:r>
      <w:r>
        <w:rPr>
          <w:rFonts w:ascii="方正仿宋_GBK" w:hAnsi="方正仿宋_GBK" w:eastAsia="方正仿宋_GBK" w:cs="方正仿宋_GBK"/>
          <w:i w:val="0"/>
          <w:iCs w:val="0"/>
          <w:caps w:val="0"/>
          <w:spacing w:val="0"/>
          <w:sz w:val="32"/>
          <w:szCs w:val="32"/>
          <w:shd w:val="clear" w:fill="FFFFFF"/>
        </w:rPr>
        <w:t>本单位无此事项。</w:t>
      </w:r>
    </w:p>
    <w:p w14:paraId="4B5B653F">
      <w:pPr>
        <w:pStyle w:val="10"/>
        <w:keepNext w:val="0"/>
        <w:keepLines w:val="0"/>
        <w:pageBreakBefore w:val="0"/>
        <w:widowControl w:val="0"/>
        <w:numPr>
          <w:ilvl w:val="0"/>
          <w:numId w:val="9"/>
        </w:numPr>
        <w:tabs>
          <w:tab w:val="center" w:pos="4153"/>
          <w:tab w:val="left" w:pos="7275"/>
        </w:tabs>
        <w:kinsoku/>
        <w:wordWrap/>
        <w:overflowPunct/>
        <w:topLinePunct w:val="0"/>
        <w:autoSpaceDE/>
        <w:autoSpaceDN/>
        <w:bidi w:val="0"/>
        <w:adjustRightInd/>
        <w:snapToGrid/>
        <w:spacing w:line="579" w:lineRule="exact"/>
        <w:ind w:firstLine="640"/>
        <w:textAlignment w:val="auto"/>
        <w:outlineLvl w:val="0"/>
        <w:rPr>
          <w:rFonts w:hint="eastAsia" w:ascii="宋体" w:hAnsi="宋体" w:eastAsia="方正黑体_GBK" w:cs="方正黑体_GBK"/>
          <w:sz w:val="32"/>
          <w:szCs w:val="32"/>
        </w:rPr>
      </w:pPr>
      <w:r>
        <w:rPr>
          <w:rFonts w:hint="eastAsia" w:ascii="宋体" w:hAnsi="宋体" w:eastAsia="方正黑体_GBK" w:cs="方正黑体_GBK"/>
          <w:sz w:val="32"/>
          <w:szCs w:val="32"/>
        </w:rPr>
        <w:t>专业名词解释</w:t>
      </w:r>
    </w:p>
    <w:p w14:paraId="6B6111C1">
      <w:pPr>
        <w:pStyle w:val="10"/>
        <w:keepNext w:val="0"/>
        <w:keepLines w:val="0"/>
        <w:pageBreakBefore w:val="0"/>
        <w:widowControl w:val="0"/>
        <w:tabs>
          <w:tab w:val="center" w:pos="4153"/>
          <w:tab w:val="left" w:pos="7275"/>
        </w:tabs>
        <w:kinsoku/>
        <w:wordWrap/>
        <w:overflowPunct/>
        <w:topLinePunct w:val="0"/>
        <w:autoSpaceDE/>
        <w:autoSpaceDN/>
        <w:bidi w:val="0"/>
        <w:adjustRightInd/>
        <w:snapToGrid/>
        <w:spacing w:line="579" w:lineRule="exact"/>
        <w:ind w:firstLine="640"/>
        <w:textAlignment w:val="auto"/>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rPr>
        <w:t>部门应根据实际情况对专业名词进行解释，不得遗漏。</w:t>
      </w:r>
      <w:r>
        <w:rPr>
          <w:rFonts w:hint="eastAsia" w:ascii="宋体" w:hAnsi="宋体" w:eastAsia="方正仿宋_GBK" w:cs="方正仿宋_GBK"/>
          <w:sz w:val="32"/>
          <w:szCs w:val="32"/>
          <w:lang w:val="en-US" w:eastAsia="zh-CN"/>
        </w:rPr>
        <w:t>示例：</w:t>
      </w:r>
    </w:p>
    <w:p w14:paraId="2636E5C9">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（一）财政拨款收入：指本年度从本级财政部门取得的财政拨款，包括一般公共预算财政拨款和政府性基金预算财政拨款。</w:t>
      </w:r>
    </w:p>
    <w:p w14:paraId="5E74E98B">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（二）事业收入：指事业单位开展专业业务活动及其辅助活动取得的现金流入；事业单位收到的财政专户实际核拨的教育收费等资金在此反映。</w:t>
      </w:r>
    </w:p>
    <w:p w14:paraId="0919F677">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w:t>
      </w:r>
      <w:r>
        <w:rPr>
          <w:rFonts w:hint="eastAsia" w:ascii="宋体" w:hAnsi="宋体" w:eastAsia="方正仿宋_GBK" w:cs="方正仿宋_GBK"/>
          <w:sz w:val="32"/>
          <w:szCs w:val="32"/>
          <w:lang w:val="en-US" w:eastAsia="zh-CN"/>
        </w:rPr>
        <w:t>三</w:t>
      </w:r>
      <w:r>
        <w:rPr>
          <w:rFonts w:hint="eastAsia" w:ascii="宋体" w:hAnsi="宋体" w:eastAsia="方正仿宋_GBK" w:cs="方正仿宋_GBK"/>
          <w:sz w:val="32"/>
          <w:szCs w:val="32"/>
        </w:rPr>
        <w:t>）其他收入：指单位取得的除“财政拨款收入”、“事业收入”、“经营收入”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得的经费，以及行政单位收到的财政专户管理资金反映在本项内。</w:t>
      </w:r>
    </w:p>
    <w:p w14:paraId="7DCFA07B">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w:t>
      </w:r>
      <w:r>
        <w:rPr>
          <w:rFonts w:hint="eastAsia" w:ascii="宋体" w:hAnsi="宋体" w:eastAsia="方正仿宋_GBK" w:cs="方正仿宋_GBK"/>
          <w:sz w:val="32"/>
          <w:szCs w:val="32"/>
          <w:lang w:val="en-US" w:eastAsia="zh-CN"/>
        </w:rPr>
        <w:t>四</w:t>
      </w:r>
      <w:r>
        <w:rPr>
          <w:rFonts w:hint="eastAsia" w:ascii="宋体" w:hAnsi="宋体" w:eastAsia="方正仿宋_GBK" w:cs="方正仿宋_GBK"/>
          <w:sz w:val="32"/>
          <w:szCs w:val="32"/>
        </w:rPr>
        <w:t>）使用非财政拨款结余：指单位在当年的“财政拨款收入”、“事业收入”、“经营收入”、“其他收入”等不足以安排当年支出的情况下，使用以前年度积累的非财政拨款结余弥补本年度收支缺口的资金。</w:t>
      </w:r>
    </w:p>
    <w:p w14:paraId="32A333A3">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w:t>
      </w:r>
      <w:r>
        <w:rPr>
          <w:rFonts w:hint="eastAsia" w:ascii="宋体" w:hAnsi="宋体" w:eastAsia="方正仿宋_GBK" w:cs="方正仿宋_GBK"/>
          <w:sz w:val="32"/>
          <w:szCs w:val="32"/>
          <w:lang w:val="en-US" w:eastAsia="zh-CN"/>
        </w:rPr>
        <w:t>五</w:t>
      </w:r>
      <w:r>
        <w:rPr>
          <w:rFonts w:hint="eastAsia" w:ascii="宋体" w:hAnsi="宋体" w:eastAsia="方正仿宋_GBK" w:cs="方正仿宋_GBK"/>
          <w:sz w:val="32"/>
          <w:szCs w:val="32"/>
        </w:rPr>
        <w:t>）年初结转和结余：指单位上年结转本年使用的基本支出结转、项目支出结转和结余、经营结余。</w:t>
      </w:r>
    </w:p>
    <w:p w14:paraId="626C9B20">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w:t>
      </w:r>
      <w:r>
        <w:rPr>
          <w:rFonts w:hint="eastAsia" w:ascii="宋体" w:hAnsi="宋体" w:eastAsia="方正仿宋_GBK" w:cs="方正仿宋_GBK"/>
          <w:sz w:val="32"/>
          <w:szCs w:val="32"/>
          <w:lang w:val="en-US" w:eastAsia="zh-CN"/>
        </w:rPr>
        <w:t>六</w:t>
      </w:r>
      <w:r>
        <w:rPr>
          <w:rFonts w:hint="eastAsia" w:ascii="宋体" w:hAnsi="宋体" w:eastAsia="方正仿宋_GBK" w:cs="方正仿宋_GBK"/>
          <w:sz w:val="32"/>
          <w:szCs w:val="32"/>
        </w:rPr>
        <w:t>）结余分配：指单位按照国家有关规定，缴纳所得税、提取专用基金、转入非财政拨款结余等当年结余的分配情况。</w:t>
      </w:r>
    </w:p>
    <w:p w14:paraId="20036BD8">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w:t>
      </w:r>
      <w:r>
        <w:rPr>
          <w:rFonts w:hint="eastAsia" w:ascii="宋体" w:hAnsi="宋体" w:eastAsia="方正仿宋_GBK" w:cs="方正仿宋_GBK"/>
          <w:sz w:val="32"/>
          <w:szCs w:val="32"/>
          <w:lang w:val="en-US" w:eastAsia="zh-CN"/>
        </w:rPr>
        <w:t>七</w:t>
      </w:r>
      <w:r>
        <w:rPr>
          <w:rFonts w:hint="eastAsia" w:ascii="宋体" w:hAnsi="宋体" w:eastAsia="方正仿宋_GBK" w:cs="方正仿宋_GBK"/>
          <w:sz w:val="32"/>
          <w:szCs w:val="32"/>
        </w:rPr>
        <w:t>）年末结转和结余：指单位结转下年的基本支出结转、项目支出结转和结余、经营结余。</w:t>
      </w:r>
    </w:p>
    <w:p w14:paraId="5960D6C6">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w:t>
      </w:r>
      <w:r>
        <w:rPr>
          <w:rFonts w:hint="eastAsia" w:ascii="宋体" w:hAnsi="宋体" w:eastAsia="方正仿宋_GBK" w:cs="方正仿宋_GBK"/>
          <w:sz w:val="32"/>
          <w:szCs w:val="32"/>
          <w:lang w:val="en-US" w:eastAsia="zh-CN"/>
        </w:rPr>
        <w:t>八</w:t>
      </w:r>
      <w:r>
        <w:rPr>
          <w:rFonts w:hint="eastAsia" w:ascii="宋体" w:hAnsi="宋体" w:eastAsia="方正仿宋_GBK" w:cs="方正仿宋_GBK"/>
          <w:sz w:val="32"/>
          <w:szCs w:val="32"/>
        </w:rPr>
        <w:t>）基本支出：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14:paraId="5FE3055A">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w:t>
      </w:r>
      <w:r>
        <w:rPr>
          <w:rFonts w:hint="eastAsia" w:ascii="宋体" w:hAnsi="宋体" w:eastAsia="方正仿宋_GBK" w:cs="方正仿宋_GBK"/>
          <w:sz w:val="32"/>
          <w:szCs w:val="32"/>
          <w:lang w:val="en-US" w:eastAsia="zh-CN"/>
        </w:rPr>
        <w:t>九</w:t>
      </w:r>
      <w:r>
        <w:rPr>
          <w:rFonts w:hint="eastAsia" w:ascii="宋体" w:hAnsi="宋体" w:eastAsia="方正仿宋_GBK" w:cs="方正仿宋_GBK"/>
          <w:sz w:val="32"/>
          <w:szCs w:val="32"/>
        </w:rPr>
        <w:t>）项目支出：指在基本支出之外为完成特定行政任务和事业发展目标所发生的支出。</w:t>
      </w:r>
    </w:p>
    <w:p w14:paraId="557D1D51">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十）“三公”经费：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14:paraId="639ED05B">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（十</w:t>
      </w:r>
      <w:r>
        <w:rPr>
          <w:rFonts w:hint="eastAsia" w:ascii="宋体" w:hAnsi="宋体" w:eastAsia="方正仿宋_GBK" w:cs="方正仿宋_GBK"/>
          <w:sz w:val="32"/>
          <w:szCs w:val="32"/>
          <w:lang w:val="en-US" w:eastAsia="zh-CN"/>
        </w:rPr>
        <w:t>一</w:t>
      </w:r>
      <w:r>
        <w:rPr>
          <w:rFonts w:hint="eastAsia" w:ascii="宋体" w:hAnsi="宋体" w:eastAsia="方正仿宋_GBK" w:cs="方正仿宋_GBK"/>
          <w:sz w:val="32"/>
          <w:szCs w:val="32"/>
        </w:rPr>
        <w:t>）机关运行经费：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14:paraId="4C722C94">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（十</w:t>
      </w:r>
      <w:r>
        <w:rPr>
          <w:rFonts w:hint="eastAsia" w:ascii="宋体" w:hAnsi="宋体" w:eastAsia="方正仿宋_GBK" w:cs="方正仿宋_GBK"/>
          <w:sz w:val="32"/>
          <w:szCs w:val="32"/>
          <w:lang w:val="en-US" w:eastAsia="zh-CN"/>
        </w:rPr>
        <w:t>二</w:t>
      </w:r>
      <w:r>
        <w:rPr>
          <w:rFonts w:hint="eastAsia" w:ascii="宋体" w:hAnsi="宋体" w:eastAsia="方正仿宋_GBK" w:cs="方正仿宋_GBK"/>
          <w:sz w:val="32"/>
          <w:szCs w:val="32"/>
        </w:rPr>
        <w:t>）工资福利支出（支出经济分类科目类级）：反映单位开支的在职职工和编制外长期聘用人员的各类劳动报酬，以及为上述人员缴纳的各项社会保险费等。</w:t>
      </w:r>
    </w:p>
    <w:p w14:paraId="7E34704F">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（十</w:t>
      </w:r>
      <w:r>
        <w:rPr>
          <w:rFonts w:hint="eastAsia" w:ascii="宋体" w:hAnsi="宋体" w:eastAsia="方正仿宋_GBK" w:cs="方正仿宋_GBK"/>
          <w:sz w:val="32"/>
          <w:szCs w:val="32"/>
          <w:lang w:val="en-US" w:eastAsia="zh-CN"/>
        </w:rPr>
        <w:t>三</w:t>
      </w:r>
      <w:r>
        <w:rPr>
          <w:rFonts w:hint="eastAsia" w:ascii="宋体" w:hAnsi="宋体" w:eastAsia="方正仿宋_GBK" w:cs="方正仿宋_GBK"/>
          <w:sz w:val="32"/>
          <w:szCs w:val="32"/>
        </w:rPr>
        <w:t>）商品和服务支出（支出经济分类科目类级）：反映单位购买商品和服务的支出（不包括用于购置固定资产的支出、战略性和应急储备支出）。</w:t>
      </w:r>
    </w:p>
    <w:p w14:paraId="325750F5">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（十</w:t>
      </w:r>
      <w:r>
        <w:rPr>
          <w:rFonts w:hint="eastAsia" w:ascii="宋体" w:hAnsi="宋体" w:eastAsia="方正仿宋_GBK" w:cs="方正仿宋_GBK"/>
          <w:sz w:val="32"/>
          <w:szCs w:val="32"/>
          <w:lang w:val="en-US" w:eastAsia="zh-CN"/>
        </w:rPr>
        <w:t>四</w:t>
      </w:r>
      <w:r>
        <w:rPr>
          <w:rFonts w:hint="eastAsia" w:ascii="宋体" w:hAnsi="宋体" w:eastAsia="方正仿宋_GBK" w:cs="方正仿宋_GBK"/>
          <w:sz w:val="32"/>
          <w:szCs w:val="32"/>
        </w:rPr>
        <w:t>）对个人和家庭的补助（支出经济分类科目类级）：反映用于对个人和家庭的补助支出。</w:t>
      </w:r>
    </w:p>
    <w:p w14:paraId="28A2351E">
      <w:pPr>
        <w:pStyle w:val="10"/>
        <w:keepNext w:val="0"/>
        <w:keepLines w:val="0"/>
        <w:pageBreakBefore w:val="0"/>
        <w:widowControl w:val="0"/>
        <w:tabs>
          <w:tab w:val="center" w:pos="4153"/>
          <w:tab w:val="left" w:pos="7275"/>
        </w:tabs>
        <w:kinsoku/>
        <w:wordWrap/>
        <w:overflowPunct/>
        <w:topLinePunct w:val="0"/>
        <w:autoSpaceDE/>
        <w:autoSpaceDN/>
        <w:bidi w:val="0"/>
        <w:adjustRightInd/>
        <w:snapToGrid/>
        <w:spacing w:line="579" w:lineRule="exact"/>
        <w:ind w:firstLine="64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（十</w:t>
      </w:r>
      <w:r>
        <w:rPr>
          <w:rFonts w:hint="eastAsia" w:ascii="宋体" w:hAnsi="宋体" w:eastAsia="方正仿宋_GBK" w:cs="方正仿宋_GBK"/>
          <w:sz w:val="32"/>
          <w:szCs w:val="32"/>
          <w:lang w:val="en-US" w:eastAsia="zh-CN"/>
        </w:rPr>
        <w:t>五</w:t>
      </w:r>
      <w:r>
        <w:rPr>
          <w:rFonts w:hint="eastAsia" w:ascii="宋体" w:hAnsi="宋体" w:eastAsia="方正仿宋_GBK" w:cs="方正仿宋_GBK"/>
          <w:sz w:val="32"/>
          <w:szCs w:val="32"/>
        </w:rPr>
        <w:t>）其他资本性支出（支出经济分类科目类级）：反映非各级发展与改革部门集中安排的用于购置固定资产、战略性和应急性储备、土地和无形资产，以及构建基础设施、大型修缮和财政支持企业更新改造所发生的支出。</w:t>
      </w:r>
    </w:p>
    <w:p w14:paraId="5BB017E3">
      <w:pPr>
        <w:pStyle w:val="10"/>
        <w:keepNext w:val="0"/>
        <w:keepLines w:val="0"/>
        <w:pageBreakBefore w:val="0"/>
        <w:widowControl w:val="0"/>
        <w:tabs>
          <w:tab w:val="center" w:pos="4153"/>
          <w:tab w:val="left" w:pos="7275"/>
        </w:tabs>
        <w:kinsoku/>
        <w:wordWrap/>
        <w:overflowPunct/>
        <w:topLinePunct w:val="0"/>
        <w:autoSpaceDE/>
        <w:autoSpaceDN/>
        <w:bidi w:val="0"/>
        <w:adjustRightInd/>
        <w:snapToGrid/>
        <w:spacing w:line="579" w:lineRule="exact"/>
        <w:ind w:firstLine="640"/>
        <w:textAlignment w:val="auto"/>
        <w:outlineLvl w:val="0"/>
        <w:rPr>
          <w:rFonts w:hint="eastAsia" w:ascii="宋体" w:hAnsi="宋体" w:eastAsia="方正黑体_GBK" w:cs="方正黑体_GBK"/>
          <w:sz w:val="32"/>
          <w:szCs w:val="32"/>
        </w:rPr>
      </w:pPr>
      <w:r>
        <w:rPr>
          <w:rFonts w:hint="eastAsia" w:ascii="宋体" w:hAnsi="宋体" w:eastAsia="方正黑体_GBK" w:cs="方正黑体_GBK"/>
          <w:sz w:val="32"/>
          <w:szCs w:val="32"/>
        </w:rPr>
        <w:t>七、决算公开联系方式</w:t>
      </w:r>
    </w:p>
    <w:p w14:paraId="3D80C997">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9" w:lineRule="exact"/>
        <w:ind w:firstLine="640"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本单位决算公开信息反馈和联系方式：</w:t>
      </w:r>
    </w:p>
    <w:p w14:paraId="41F319A1">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9" w:lineRule="exact"/>
        <w:ind w:firstLine="640" w:firstLineChars="200"/>
        <w:jc w:val="both"/>
        <w:textAlignment w:val="auto"/>
        <w:rPr>
          <w:rFonts w:hint="default" w:ascii="宋体" w:hAnsi="宋体" w:eastAsia="方正仿宋_GBK" w:cs="方正仿宋_GBK"/>
          <w:sz w:val="32"/>
          <w:szCs w:val="32"/>
          <w:lang w:val="en-US"/>
        </w:rPr>
      </w:pPr>
      <w:r>
        <w:rPr>
          <w:rFonts w:hint="eastAsia" w:ascii="宋体" w:hAnsi="宋体" w:eastAsia="方正仿宋_GBK" w:cs="方正仿宋_GBK"/>
          <w:sz w:val="32"/>
          <w:szCs w:val="32"/>
          <w:lang w:val="en-US" w:eastAsia="zh-CN"/>
        </w:rPr>
        <w:t xml:space="preserve">联系人：白炼   </w:t>
      </w:r>
      <w:r>
        <w:rPr>
          <w:rFonts w:hint="eastAsia" w:ascii="宋体" w:hAnsi="宋体" w:eastAsia="方正仿宋_GBK" w:cs="方正仿宋_GBK"/>
          <w:sz w:val="32"/>
          <w:szCs w:val="32"/>
        </w:rPr>
        <w:t xml:space="preserve">  </w:t>
      </w:r>
      <w:r>
        <w:rPr>
          <w:rFonts w:hint="eastAsia" w:ascii="宋体" w:hAnsi="宋体" w:eastAsia="方正仿宋_GBK" w:cs="方正仿宋_GBK"/>
          <w:sz w:val="32"/>
          <w:szCs w:val="32"/>
          <w:lang w:val="en-US" w:eastAsia="zh-CN"/>
        </w:rPr>
        <w:t>联系电话：023-47535011</w:t>
      </w:r>
    </w:p>
    <w:sectPr>
      <w:footerReference r:id="rId3" w:type="default"/>
      <w:footerReference r:id="rId4" w:type="even"/>
      <w:pgSz w:w="11906" w:h="16838"/>
      <w:pgMar w:top="1647" w:right="1474" w:bottom="1474" w:left="1587" w:header="851" w:footer="1474"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4CCD77">
    <w:pPr>
      <w:pStyle w:val="4"/>
      <w:jc w:val="right"/>
    </w:pPr>
    <w:r>
      <w:rPr>
        <w:rFonts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PAGE   \* MERGEFORMAT</w:instrText>
    </w:r>
    <w:r>
      <w:rPr>
        <w:rFonts w:ascii="Times New Roman" w:hAnsi="Times New Roman"/>
        <w:sz w:val="28"/>
        <w:szCs w:val="28"/>
      </w:rPr>
      <w:fldChar w:fldCharType="separate"/>
    </w:r>
    <w:r>
      <w:rPr>
        <w:rFonts w:ascii="Times New Roman" w:hAnsi="Times New Roman"/>
        <w:sz w:val="28"/>
        <w:szCs w:val="28"/>
        <w:lang w:val="zh-CN"/>
      </w:rPr>
      <w:t>1</w:t>
    </w:r>
    <w:r>
      <w:rPr>
        <w:rFonts w:ascii="Times New Roman" w:hAnsi="Times New Roman"/>
        <w:sz w:val="28"/>
        <w:szCs w:val="28"/>
      </w:rPr>
      <w:fldChar w:fldCharType="end"/>
    </w:r>
    <w:r>
      <w:rPr>
        <w:rFonts w:ascii="Times New Roman" w:hAnsi="Times New Roman"/>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986327">
    <w:pPr>
      <w:pStyle w:val="4"/>
    </w:pPr>
    <w:r>
      <w:rPr>
        <w:rFonts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PAGE   \* MERGEFORMAT</w:instrText>
    </w:r>
    <w:r>
      <w:rPr>
        <w:rFonts w:ascii="Times New Roman" w:hAnsi="Times New Roman"/>
        <w:sz w:val="28"/>
        <w:szCs w:val="28"/>
      </w:rPr>
      <w:fldChar w:fldCharType="separate"/>
    </w:r>
    <w:r>
      <w:rPr>
        <w:rFonts w:ascii="Times New Roman" w:hAnsi="Times New Roman"/>
        <w:sz w:val="28"/>
        <w:szCs w:val="28"/>
        <w:lang w:val="zh-CN"/>
      </w:rPr>
      <w:t>2</w:t>
    </w:r>
    <w:r>
      <w:rPr>
        <w:rFonts w:ascii="Times New Roman" w:hAnsi="Times New Roman"/>
        <w:sz w:val="28"/>
        <w:szCs w:val="28"/>
      </w:rPr>
      <w:fldChar w:fldCharType="end"/>
    </w:r>
    <w:r>
      <w:rPr>
        <w:rFonts w:ascii="Times New Roman" w:hAnsi="Times New Roman"/>
        <w:sz w:val="28"/>
        <w:szCs w:val="28"/>
      </w:rPr>
      <w:t xml:space="preserve"> —</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E15FB01"/>
    <w:multiLevelType w:val="singleLevel"/>
    <w:tmpl w:val="BE15FB01"/>
    <w:lvl w:ilvl="0" w:tentative="0">
      <w:start w:val="6"/>
      <w:numFmt w:val="chineseCounting"/>
      <w:suff w:val="nothing"/>
      <w:lvlText w:val="%1、"/>
      <w:lvlJc w:val="left"/>
      <w:rPr>
        <w:rFonts w:hint="eastAsia"/>
      </w:rPr>
    </w:lvl>
  </w:abstractNum>
  <w:abstractNum w:abstractNumId="1">
    <w:nsid w:val="BF018CFE"/>
    <w:multiLevelType w:val="singleLevel"/>
    <w:tmpl w:val="BF018CFE"/>
    <w:lvl w:ilvl="0" w:tentative="0">
      <w:start w:val="2"/>
      <w:numFmt w:val="chineseCounting"/>
      <w:suff w:val="nothing"/>
      <w:lvlText w:val="%1、"/>
      <w:lvlJc w:val="left"/>
      <w:rPr>
        <w:rFonts w:hint="eastAsia"/>
      </w:rPr>
    </w:lvl>
  </w:abstractNum>
  <w:abstractNum w:abstractNumId="2">
    <w:nsid w:val="C7DC43F0"/>
    <w:multiLevelType w:val="singleLevel"/>
    <w:tmpl w:val="C7DC43F0"/>
    <w:lvl w:ilvl="0" w:tentative="0">
      <w:start w:val="1"/>
      <w:numFmt w:val="decimal"/>
      <w:suff w:val="space"/>
      <w:lvlText w:val="%1."/>
      <w:lvlJc w:val="left"/>
    </w:lvl>
  </w:abstractNum>
  <w:abstractNum w:abstractNumId="3">
    <w:nsid w:val="FC092FFC"/>
    <w:multiLevelType w:val="singleLevel"/>
    <w:tmpl w:val="FC092FFC"/>
    <w:lvl w:ilvl="0" w:tentative="0">
      <w:start w:val="1"/>
      <w:numFmt w:val="decimal"/>
      <w:suff w:val="nothing"/>
      <w:lvlText w:val="（%1）"/>
      <w:lvlJc w:val="left"/>
    </w:lvl>
  </w:abstractNum>
  <w:abstractNum w:abstractNumId="4">
    <w:nsid w:val="170F8B3D"/>
    <w:multiLevelType w:val="singleLevel"/>
    <w:tmpl w:val="170F8B3D"/>
    <w:lvl w:ilvl="0" w:tentative="0">
      <w:start w:val="1"/>
      <w:numFmt w:val="decimal"/>
      <w:suff w:val="space"/>
      <w:lvlText w:val="%1."/>
      <w:lvlJc w:val="left"/>
    </w:lvl>
  </w:abstractNum>
  <w:abstractNum w:abstractNumId="5">
    <w:nsid w:val="265D9FB2"/>
    <w:multiLevelType w:val="singleLevel"/>
    <w:tmpl w:val="265D9FB2"/>
    <w:lvl w:ilvl="0" w:tentative="0">
      <w:start w:val="1"/>
      <w:numFmt w:val="chineseCounting"/>
      <w:suff w:val="nothing"/>
      <w:lvlText w:val="%1、"/>
      <w:lvlJc w:val="left"/>
      <w:rPr>
        <w:rFonts w:hint="eastAsia"/>
      </w:rPr>
    </w:lvl>
  </w:abstractNum>
  <w:abstractNum w:abstractNumId="6">
    <w:nsid w:val="36AF54E0"/>
    <w:multiLevelType w:val="singleLevel"/>
    <w:tmpl w:val="36AF54E0"/>
    <w:lvl w:ilvl="0" w:tentative="0">
      <w:start w:val="2"/>
      <w:numFmt w:val="decimal"/>
      <w:suff w:val="space"/>
      <w:lvlText w:val="%1."/>
      <w:lvlJc w:val="left"/>
    </w:lvl>
  </w:abstractNum>
  <w:abstractNum w:abstractNumId="7">
    <w:nsid w:val="6BB1AE55"/>
    <w:multiLevelType w:val="singleLevel"/>
    <w:tmpl w:val="6BB1AE55"/>
    <w:lvl w:ilvl="0" w:tentative="0">
      <w:start w:val="1"/>
      <w:numFmt w:val="chineseCounting"/>
      <w:suff w:val="nothing"/>
      <w:lvlText w:val="（%1）"/>
      <w:lvlJc w:val="left"/>
      <w:rPr>
        <w:rFonts w:hint="eastAsia"/>
      </w:rPr>
    </w:lvl>
  </w:abstractNum>
  <w:abstractNum w:abstractNumId="8">
    <w:nsid w:val="7FC6D37E"/>
    <w:multiLevelType w:val="singleLevel"/>
    <w:tmpl w:val="7FC6D37E"/>
    <w:lvl w:ilvl="0" w:tentative="0">
      <w:start w:val="2"/>
      <w:numFmt w:val="chineseCounting"/>
      <w:suff w:val="nothing"/>
      <w:lvlText w:val="（%1）"/>
      <w:lvlJc w:val="left"/>
      <w:rPr>
        <w:rFonts w:hint="eastAsia"/>
      </w:rPr>
    </w:lvl>
  </w:abstractNum>
  <w:num w:numId="1">
    <w:abstractNumId w:val="5"/>
  </w:num>
  <w:num w:numId="2">
    <w:abstractNumId w:val="8"/>
  </w:num>
  <w:num w:numId="3">
    <w:abstractNumId w:val="1"/>
  </w:num>
  <w:num w:numId="4">
    <w:abstractNumId w:val="7"/>
  </w:num>
  <w:num w:numId="5">
    <w:abstractNumId w:val="4"/>
  </w:num>
  <w:num w:numId="6">
    <w:abstractNumId w:val="2"/>
  </w:num>
  <w:num w:numId="7">
    <w:abstractNumId w:val="3"/>
  </w:num>
  <w:num w:numId="8">
    <w:abstractNumId w:val="6"/>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evenAndOddHeaders w:val="1"/>
  <w:drawingGridHorizontalSpacing w:val="21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7E12"/>
    <w:rsid w:val="0000051E"/>
    <w:rsid w:val="00001D33"/>
    <w:rsid w:val="000028C9"/>
    <w:rsid w:val="000155FC"/>
    <w:rsid w:val="000175BF"/>
    <w:rsid w:val="0001772A"/>
    <w:rsid w:val="00021540"/>
    <w:rsid w:val="00026535"/>
    <w:rsid w:val="00027CBA"/>
    <w:rsid w:val="00030BD4"/>
    <w:rsid w:val="0003485A"/>
    <w:rsid w:val="00034F55"/>
    <w:rsid w:val="000420EA"/>
    <w:rsid w:val="000427E2"/>
    <w:rsid w:val="00043D2E"/>
    <w:rsid w:val="00047C1B"/>
    <w:rsid w:val="00053EE9"/>
    <w:rsid w:val="00054D43"/>
    <w:rsid w:val="00054DCF"/>
    <w:rsid w:val="00054EB7"/>
    <w:rsid w:val="0005574C"/>
    <w:rsid w:val="0006070C"/>
    <w:rsid w:val="000639CF"/>
    <w:rsid w:val="00065200"/>
    <w:rsid w:val="00067A09"/>
    <w:rsid w:val="00073F65"/>
    <w:rsid w:val="000842FF"/>
    <w:rsid w:val="000A2CFA"/>
    <w:rsid w:val="000B27F1"/>
    <w:rsid w:val="000B3E51"/>
    <w:rsid w:val="000C15A3"/>
    <w:rsid w:val="000C7FE9"/>
    <w:rsid w:val="000D5121"/>
    <w:rsid w:val="000E0FCA"/>
    <w:rsid w:val="000E44AE"/>
    <w:rsid w:val="000E45ED"/>
    <w:rsid w:val="00100BE4"/>
    <w:rsid w:val="00102024"/>
    <w:rsid w:val="0011013E"/>
    <w:rsid w:val="0011190A"/>
    <w:rsid w:val="001136EF"/>
    <w:rsid w:val="00120138"/>
    <w:rsid w:val="00120AC5"/>
    <w:rsid w:val="001225CF"/>
    <w:rsid w:val="00122802"/>
    <w:rsid w:val="00122A47"/>
    <w:rsid w:val="00130AB7"/>
    <w:rsid w:val="001330DE"/>
    <w:rsid w:val="00134BAE"/>
    <w:rsid w:val="00141657"/>
    <w:rsid w:val="00141E8D"/>
    <w:rsid w:val="00146457"/>
    <w:rsid w:val="00147151"/>
    <w:rsid w:val="001570CA"/>
    <w:rsid w:val="001600A8"/>
    <w:rsid w:val="0016440F"/>
    <w:rsid w:val="00167113"/>
    <w:rsid w:val="00170AB6"/>
    <w:rsid w:val="001733C6"/>
    <w:rsid w:val="001760D0"/>
    <w:rsid w:val="00176E9E"/>
    <w:rsid w:val="00177282"/>
    <w:rsid w:val="0017754D"/>
    <w:rsid w:val="00177DDE"/>
    <w:rsid w:val="0018055E"/>
    <w:rsid w:val="0018417C"/>
    <w:rsid w:val="00186D29"/>
    <w:rsid w:val="00191922"/>
    <w:rsid w:val="00196B3B"/>
    <w:rsid w:val="001B4EBF"/>
    <w:rsid w:val="001D1F56"/>
    <w:rsid w:val="001D2188"/>
    <w:rsid w:val="001D2D97"/>
    <w:rsid w:val="001D39FC"/>
    <w:rsid w:val="001D469D"/>
    <w:rsid w:val="001D53A5"/>
    <w:rsid w:val="001E4338"/>
    <w:rsid w:val="001F35D7"/>
    <w:rsid w:val="001F6342"/>
    <w:rsid w:val="001F69D5"/>
    <w:rsid w:val="00203926"/>
    <w:rsid w:val="00206DF8"/>
    <w:rsid w:val="002074F7"/>
    <w:rsid w:val="002101FA"/>
    <w:rsid w:val="00213778"/>
    <w:rsid w:val="002148AC"/>
    <w:rsid w:val="00222B01"/>
    <w:rsid w:val="002247FE"/>
    <w:rsid w:val="00224B1E"/>
    <w:rsid w:val="00242193"/>
    <w:rsid w:val="00251D58"/>
    <w:rsid w:val="00252306"/>
    <w:rsid w:val="00255B14"/>
    <w:rsid w:val="00262C07"/>
    <w:rsid w:val="00271994"/>
    <w:rsid w:val="002726B1"/>
    <w:rsid w:val="00280812"/>
    <w:rsid w:val="002817B6"/>
    <w:rsid w:val="00283F54"/>
    <w:rsid w:val="00285CEF"/>
    <w:rsid w:val="00290EE3"/>
    <w:rsid w:val="002970E2"/>
    <w:rsid w:val="002A64DE"/>
    <w:rsid w:val="002B53DA"/>
    <w:rsid w:val="002B6DD1"/>
    <w:rsid w:val="002C1EC9"/>
    <w:rsid w:val="002C3116"/>
    <w:rsid w:val="002C7F37"/>
    <w:rsid w:val="002D0665"/>
    <w:rsid w:val="002D284A"/>
    <w:rsid w:val="002D60ED"/>
    <w:rsid w:val="002E2E5B"/>
    <w:rsid w:val="002E2EE4"/>
    <w:rsid w:val="002F0CF5"/>
    <w:rsid w:val="002F5ADD"/>
    <w:rsid w:val="00302486"/>
    <w:rsid w:val="00314CB4"/>
    <w:rsid w:val="003178A1"/>
    <w:rsid w:val="00317958"/>
    <w:rsid w:val="003202F9"/>
    <w:rsid w:val="0032073C"/>
    <w:rsid w:val="00322ADF"/>
    <w:rsid w:val="00324B31"/>
    <w:rsid w:val="0033105A"/>
    <w:rsid w:val="00334EB0"/>
    <w:rsid w:val="0034207B"/>
    <w:rsid w:val="00344BF5"/>
    <w:rsid w:val="003450C0"/>
    <w:rsid w:val="00346494"/>
    <w:rsid w:val="00351DAC"/>
    <w:rsid w:val="00354334"/>
    <w:rsid w:val="00355F37"/>
    <w:rsid w:val="00362BC8"/>
    <w:rsid w:val="00363DA8"/>
    <w:rsid w:val="0036500E"/>
    <w:rsid w:val="00371DF3"/>
    <w:rsid w:val="0038006A"/>
    <w:rsid w:val="00391856"/>
    <w:rsid w:val="003961FF"/>
    <w:rsid w:val="00397B03"/>
    <w:rsid w:val="003B21E3"/>
    <w:rsid w:val="003B27FF"/>
    <w:rsid w:val="003B742A"/>
    <w:rsid w:val="003C12FB"/>
    <w:rsid w:val="003C40D4"/>
    <w:rsid w:val="003D081C"/>
    <w:rsid w:val="003D0BFF"/>
    <w:rsid w:val="003D6A6B"/>
    <w:rsid w:val="003F481B"/>
    <w:rsid w:val="003F48D1"/>
    <w:rsid w:val="00401C53"/>
    <w:rsid w:val="00404D9E"/>
    <w:rsid w:val="004135EA"/>
    <w:rsid w:val="00421B19"/>
    <w:rsid w:val="00422B0B"/>
    <w:rsid w:val="00422E47"/>
    <w:rsid w:val="00423211"/>
    <w:rsid w:val="004245F7"/>
    <w:rsid w:val="00426CE4"/>
    <w:rsid w:val="00426FEA"/>
    <w:rsid w:val="00431925"/>
    <w:rsid w:val="00432F81"/>
    <w:rsid w:val="00435247"/>
    <w:rsid w:val="004376FF"/>
    <w:rsid w:val="00441F50"/>
    <w:rsid w:val="004420F5"/>
    <w:rsid w:val="00446207"/>
    <w:rsid w:val="00460B50"/>
    <w:rsid w:val="00462A1B"/>
    <w:rsid w:val="0047102A"/>
    <w:rsid w:val="004767A0"/>
    <w:rsid w:val="00480634"/>
    <w:rsid w:val="00480DBB"/>
    <w:rsid w:val="0048149F"/>
    <w:rsid w:val="00490BD7"/>
    <w:rsid w:val="00492F86"/>
    <w:rsid w:val="00494936"/>
    <w:rsid w:val="004950DE"/>
    <w:rsid w:val="00495471"/>
    <w:rsid w:val="004A6381"/>
    <w:rsid w:val="004A7255"/>
    <w:rsid w:val="004B18A6"/>
    <w:rsid w:val="004B71FD"/>
    <w:rsid w:val="004B7C9D"/>
    <w:rsid w:val="004C041C"/>
    <w:rsid w:val="004C0428"/>
    <w:rsid w:val="004C1E46"/>
    <w:rsid w:val="004C2BBC"/>
    <w:rsid w:val="004D124F"/>
    <w:rsid w:val="004D20FC"/>
    <w:rsid w:val="004E451B"/>
    <w:rsid w:val="004E758F"/>
    <w:rsid w:val="004F0548"/>
    <w:rsid w:val="004F0AE7"/>
    <w:rsid w:val="004F4BAB"/>
    <w:rsid w:val="004F5255"/>
    <w:rsid w:val="00501E64"/>
    <w:rsid w:val="0050428A"/>
    <w:rsid w:val="0050454F"/>
    <w:rsid w:val="00505D0E"/>
    <w:rsid w:val="00533746"/>
    <w:rsid w:val="00546918"/>
    <w:rsid w:val="005507A2"/>
    <w:rsid w:val="00561338"/>
    <w:rsid w:val="00561975"/>
    <w:rsid w:val="00565117"/>
    <w:rsid w:val="0056679B"/>
    <w:rsid w:val="00573EC4"/>
    <w:rsid w:val="00583859"/>
    <w:rsid w:val="005901AA"/>
    <w:rsid w:val="005911E1"/>
    <w:rsid w:val="005A3116"/>
    <w:rsid w:val="005A5CCA"/>
    <w:rsid w:val="005A5FCF"/>
    <w:rsid w:val="005B100F"/>
    <w:rsid w:val="005B2D5D"/>
    <w:rsid w:val="005C38B2"/>
    <w:rsid w:val="005D16FF"/>
    <w:rsid w:val="005D2489"/>
    <w:rsid w:val="005D4003"/>
    <w:rsid w:val="005D4080"/>
    <w:rsid w:val="005D470C"/>
    <w:rsid w:val="005E1109"/>
    <w:rsid w:val="005E6EE3"/>
    <w:rsid w:val="005F0FF8"/>
    <w:rsid w:val="005F757D"/>
    <w:rsid w:val="00600C8F"/>
    <w:rsid w:val="00603082"/>
    <w:rsid w:val="00607E12"/>
    <w:rsid w:val="00611CA5"/>
    <w:rsid w:val="00620233"/>
    <w:rsid w:val="0062633A"/>
    <w:rsid w:val="00626848"/>
    <w:rsid w:val="0063222A"/>
    <w:rsid w:val="0063307E"/>
    <w:rsid w:val="00642C2A"/>
    <w:rsid w:val="006437B2"/>
    <w:rsid w:val="00664E32"/>
    <w:rsid w:val="0067039B"/>
    <w:rsid w:val="0068775B"/>
    <w:rsid w:val="00691CE0"/>
    <w:rsid w:val="00694365"/>
    <w:rsid w:val="006A2A65"/>
    <w:rsid w:val="006A566C"/>
    <w:rsid w:val="006A61DF"/>
    <w:rsid w:val="006B5DD7"/>
    <w:rsid w:val="006C1B21"/>
    <w:rsid w:val="006D014A"/>
    <w:rsid w:val="006D5786"/>
    <w:rsid w:val="006D6F59"/>
    <w:rsid w:val="006E1572"/>
    <w:rsid w:val="006E173D"/>
    <w:rsid w:val="006E538A"/>
    <w:rsid w:val="006F0EDC"/>
    <w:rsid w:val="006F3611"/>
    <w:rsid w:val="00701258"/>
    <w:rsid w:val="007036CD"/>
    <w:rsid w:val="00705A2B"/>
    <w:rsid w:val="00716862"/>
    <w:rsid w:val="007254E0"/>
    <w:rsid w:val="007278AE"/>
    <w:rsid w:val="00730852"/>
    <w:rsid w:val="00735715"/>
    <w:rsid w:val="00737BE2"/>
    <w:rsid w:val="00744FBD"/>
    <w:rsid w:val="007450D8"/>
    <w:rsid w:val="00755DA9"/>
    <w:rsid w:val="00755FDA"/>
    <w:rsid w:val="00757640"/>
    <w:rsid w:val="00761826"/>
    <w:rsid w:val="007654CC"/>
    <w:rsid w:val="00767D9E"/>
    <w:rsid w:val="00777274"/>
    <w:rsid w:val="00777FB0"/>
    <w:rsid w:val="0078049C"/>
    <w:rsid w:val="00784541"/>
    <w:rsid w:val="007874D6"/>
    <w:rsid w:val="007A3314"/>
    <w:rsid w:val="007A48F4"/>
    <w:rsid w:val="007A4C8D"/>
    <w:rsid w:val="007B0EC6"/>
    <w:rsid w:val="007B2F96"/>
    <w:rsid w:val="007C1250"/>
    <w:rsid w:val="007D00FC"/>
    <w:rsid w:val="007D0966"/>
    <w:rsid w:val="007D20F3"/>
    <w:rsid w:val="007D4338"/>
    <w:rsid w:val="007D6BFC"/>
    <w:rsid w:val="007D6CD1"/>
    <w:rsid w:val="007E2E16"/>
    <w:rsid w:val="007E3BD8"/>
    <w:rsid w:val="007E57F2"/>
    <w:rsid w:val="007E653A"/>
    <w:rsid w:val="007F3519"/>
    <w:rsid w:val="0080668B"/>
    <w:rsid w:val="0081318A"/>
    <w:rsid w:val="00814C3C"/>
    <w:rsid w:val="00817D1B"/>
    <w:rsid w:val="0082495C"/>
    <w:rsid w:val="0082609A"/>
    <w:rsid w:val="0083632B"/>
    <w:rsid w:val="00841059"/>
    <w:rsid w:val="00841718"/>
    <w:rsid w:val="00851C0B"/>
    <w:rsid w:val="0085432D"/>
    <w:rsid w:val="00855AB4"/>
    <w:rsid w:val="008561F1"/>
    <w:rsid w:val="0086134B"/>
    <w:rsid w:val="00864275"/>
    <w:rsid w:val="00872593"/>
    <w:rsid w:val="008846E9"/>
    <w:rsid w:val="00884DD1"/>
    <w:rsid w:val="00890399"/>
    <w:rsid w:val="00895F15"/>
    <w:rsid w:val="008A0636"/>
    <w:rsid w:val="008A2A01"/>
    <w:rsid w:val="008A38D6"/>
    <w:rsid w:val="008A3D1E"/>
    <w:rsid w:val="008A43C6"/>
    <w:rsid w:val="008A49F0"/>
    <w:rsid w:val="008B7D00"/>
    <w:rsid w:val="008C2879"/>
    <w:rsid w:val="008C6EB5"/>
    <w:rsid w:val="008D2EB9"/>
    <w:rsid w:val="008D41BD"/>
    <w:rsid w:val="008D4D00"/>
    <w:rsid w:val="008E7C26"/>
    <w:rsid w:val="008F2607"/>
    <w:rsid w:val="008F3774"/>
    <w:rsid w:val="0090051E"/>
    <w:rsid w:val="009061F1"/>
    <w:rsid w:val="00910307"/>
    <w:rsid w:val="0091131C"/>
    <w:rsid w:val="00911FA3"/>
    <w:rsid w:val="00917F50"/>
    <w:rsid w:val="0092046E"/>
    <w:rsid w:val="00926B68"/>
    <w:rsid w:val="009326D4"/>
    <w:rsid w:val="00942960"/>
    <w:rsid w:val="00952960"/>
    <w:rsid w:val="009571BF"/>
    <w:rsid w:val="0096181A"/>
    <w:rsid w:val="00970F5C"/>
    <w:rsid w:val="00980C64"/>
    <w:rsid w:val="00981617"/>
    <w:rsid w:val="00984F70"/>
    <w:rsid w:val="00995B9A"/>
    <w:rsid w:val="00995F22"/>
    <w:rsid w:val="00996706"/>
    <w:rsid w:val="0099789A"/>
    <w:rsid w:val="009A01A1"/>
    <w:rsid w:val="009A0F73"/>
    <w:rsid w:val="009A38B0"/>
    <w:rsid w:val="009A7B10"/>
    <w:rsid w:val="009B186D"/>
    <w:rsid w:val="009B46C1"/>
    <w:rsid w:val="009C7673"/>
    <w:rsid w:val="009D21EA"/>
    <w:rsid w:val="009E0942"/>
    <w:rsid w:val="009E153F"/>
    <w:rsid w:val="009F0A76"/>
    <w:rsid w:val="009F1C2B"/>
    <w:rsid w:val="009F42A2"/>
    <w:rsid w:val="009F782A"/>
    <w:rsid w:val="009F7F6C"/>
    <w:rsid w:val="00A04BBF"/>
    <w:rsid w:val="00A05764"/>
    <w:rsid w:val="00A05FE8"/>
    <w:rsid w:val="00A1783A"/>
    <w:rsid w:val="00A259D6"/>
    <w:rsid w:val="00A268FC"/>
    <w:rsid w:val="00A3654D"/>
    <w:rsid w:val="00A44FA7"/>
    <w:rsid w:val="00A4608B"/>
    <w:rsid w:val="00A55460"/>
    <w:rsid w:val="00A55D58"/>
    <w:rsid w:val="00A5629A"/>
    <w:rsid w:val="00A5637A"/>
    <w:rsid w:val="00A629AC"/>
    <w:rsid w:val="00A66921"/>
    <w:rsid w:val="00A67C22"/>
    <w:rsid w:val="00A722FB"/>
    <w:rsid w:val="00A73342"/>
    <w:rsid w:val="00A75E77"/>
    <w:rsid w:val="00A7769A"/>
    <w:rsid w:val="00A95599"/>
    <w:rsid w:val="00A96D56"/>
    <w:rsid w:val="00A974C1"/>
    <w:rsid w:val="00AA46CF"/>
    <w:rsid w:val="00AA5AB0"/>
    <w:rsid w:val="00AB0D59"/>
    <w:rsid w:val="00AB323C"/>
    <w:rsid w:val="00AB3AAE"/>
    <w:rsid w:val="00AB75A6"/>
    <w:rsid w:val="00AC1FF6"/>
    <w:rsid w:val="00AC5A32"/>
    <w:rsid w:val="00AC6807"/>
    <w:rsid w:val="00AD31B0"/>
    <w:rsid w:val="00AD43B9"/>
    <w:rsid w:val="00AD4486"/>
    <w:rsid w:val="00AD65C3"/>
    <w:rsid w:val="00AD7D0A"/>
    <w:rsid w:val="00AE2416"/>
    <w:rsid w:val="00AE2C0B"/>
    <w:rsid w:val="00AE76C2"/>
    <w:rsid w:val="00AF0307"/>
    <w:rsid w:val="00B0093A"/>
    <w:rsid w:val="00B057E0"/>
    <w:rsid w:val="00B07C2C"/>
    <w:rsid w:val="00B12E00"/>
    <w:rsid w:val="00B14F8C"/>
    <w:rsid w:val="00B15181"/>
    <w:rsid w:val="00B211A3"/>
    <w:rsid w:val="00B23783"/>
    <w:rsid w:val="00B316BA"/>
    <w:rsid w:val="00B41BE8"/>
    <w:rsid w:val="00B42D0C"/>
    <w:rsid w:val="00B463CF"/>
    <w:rsid w:val="00B54FA4"/>
    <w:rsid w:val="00B60D03"/>
    <w:rsid w:val="00B67091"/>
    <w:rsid w:val="00B81DAC"/>
    <w:rsid w:val="00B822EA"/>
    <w:rsid w:val="00B922A2"/>
    <w:rsid w:val="00B93851"/>
    <w:rsid w:val="00B94043"/>
    <w:rsid w:val="00B96B08"/>
    <w:rsid w:val="00BA33C7"/>
    <w:rsid w:val="00BA43B4"/>
    <w:rsid w:val="00BA43B8"/>
    <w:rsid w:val="00BA5FD9"/>
    <w:rsid w:val="00BB36E3"/>
    <w:rsid w:val="00BB4092"/>
    <w:rsid w:val="00BB771B"/>
    <w:rsid w:val="00BC4C57"/>
    <w:rsid w:val="00BC6593"/>
    <w:rsid w:val="00BC6C2F"/>
    <w:rsid w:val="00BD0E0D"/>
    <w:rsid w:val="00BD4AE7"/>
    <w:rsid w:val="00BD5A36"/>
    <w:rsid w:val="00BE14B9"/>
    <w:rsid w:val="00BE1EF6"/>
    <w:rsid w:val="00BE3720"/>
    <w:rsid w:val="00BE4944"/>
    <w:rsid w:val="00BE6245"/>
    <w:rsid w:val="00BF2DDD"/>
    <w:rsid w:val="00BF4EDC"/>
    <w:rsid w:val="00BF6572"/>
    <w:rsid w:val="00C0316B"/>
    <w:rsid w:val="00C10901"/>
    <w:rsid w:val="00C11001"/>
    <w:rsid w:val="00C20076"/>
    <w:rsid w:val="00C23D12"/>
    <w:rsid w:val="00C31EF7"/>
    <w:rsid w:val="00C3206D"/>
    <w:rsid w:val="00C33307"/>
    <w:rsid w:val="00C3371D"/>
    <w:rsid w:val="00C41417"/>
    <w:rsid w:val="00C4219E"/>
    <w:rsid w:val="00C4238E"/>
    <w:rsid w:val="00C4258A"/>
    <w:rsid w:val="00C45DE6"/>
    <w:rsid w:val="00C468C6"/>
    <w:rsid w:val="00C61402"/>
    <w:rsid w:val="00C66C12"/>
    <w:rsid w:val="00C66C81"/>
    <w:rsid w:val="00C7551A"/>
    <w:rsid w:val="00C811D2"/>
    <w:rsid w:val="00C84B8C"/>
    <w:rsid w:val="00C86109"/>
    <w:rsid w:val="00C93F35"/>
    <w:rsid w:val="00C95F82"/>
    <w:rsid w:val="00C97EAF"/>
    <w:rsid w:val="00CA01ED"/>
    <w:rsid w:val="00CA072F"/>
    <w:rsid w:val="00CB6C8A"/>
    <w:rsid w:val="00CB71B8"/>
    <w:rsid w:val="00CC29D1"/>
    <w:rsid w:val="00CC6E15"/>
    <w:rsid w:val="00CD2BD0"/>
    <w:rsid w:val="00CD341A"/>
    <w:rsid w:val="00CD7B97"/>
    <w:rsid w:val="00CE4584"/>
    <w:rsid w:val="00CF2F76"/>
    <w:rsid w:val="00CF3987"/>
    <w:rsid w:val="00CF487D"/>
    <w:rsid w:val="00D01565"/>
    <w:rsid w:val="00D02C02"/>
    <w:rsid w:val="00D03EFD"/>
    <w:rsid w:val="00D04855"/>
    <w:rsid w:val="00D06AE0"/>
    <w:rsid w:val="00D1341C"/>
    <w:rsid w:val="00D1398B"/>
    <w:rsid w:val="00D13DA7"/>
    <w:rsid w:val="00D162A8"/>
    <w:rsid w:val="00D20046"/>
    <w:rsid w:val="00D21A4A"/>
    <w:rsid w:val="00D3017F"/>
    <w:rsid w:val="00D311F3"/>
    <w:rsid w:val="00D3507F"/>
    <w:rsid w:val="00D35A65"/>
    <w:rsid w:val="00D363D0"/>
    <w:rsid w:val="00D36CE6"/>
    <w:rsid w:val="00D41FA5"/>
    <w:rsid w:val="00D4306E"/>
    <w:rsid w:val="00D44633"/>
    <w:rsid w:val="00D4526D"/>
    <w:rsid w:val="00D479F4"/>
    <w:rsid w:val="00D53260"/>
    <w:rsid w:val="00D556D1"/>
    <w:rsid w:val="00D6004F"/>
    <w:rsid w:val="00D669F9"/>
    <w:rsid w:val="00D706B6"/>
    <w:rsid w:val="00D811F9"/>
    <w:rsid w:val="00DA0593"/>
    <w:rsid w:val="00DA3692"/>
    <w:rsid w:val="00DB79E0"/>
    <w:rsid w:val="00DD14B2"/>
    <w:rsid w:val="00DD6BBC"/>
    <w:rsid w:val="00DE0EDD"/>
    <w:rsid w:val="00DE3005"/>
    <w:rsid w:val="00DE735E"/>
    <w:rsid w:val="00DF32B3"/>
    <w:rsid w:val="00DF3B9C"/>
    <w:rsid w:val="00DF5874"/>
    <w:rsid w:val="00DF5A8E"/>
    <w:rsid w:val="00E115ED"/>
    <w:rsid w:val="00E20FA3"/>
    <w:rsid w:val="00E24893"/>
    <w:rsid w:val="00E46647"/>
    <w:rsid w:val="00E4699A"/>
    <w:rsid w:val="00E5411A"/>
    <w:rsid w:val="00E6183C"/>
    <w:rsid w:val="00E64255"/>
    <w:rsid w:val="00E6527B"/>
    <w:rsid w:val="00E70C3D"/>
    <w:rsid w:val="00E71DE9"/>
    <w:rsid w:val="00E735E7"/>
    <w:rsid w:val="00E77357"/>
    <w:rsid w:val="00E805E8"/>
    <w:rsid w:val="00E8343D"/>
    <w:rsid w:val="00E9151E"/>
    <w:rsid w:val="00E93825"/>
    <w:rsid w:val="00E950F2"/>
    <w:rsid w:val="00E97BF1"/>
    <w:rsid w:val="00EA2F62"/>
    <w:rsid w:val="00EA5AF8"/>
    <w:rsid w:val="00EB25A6"/>
    <w:rsid w:val="00EB5255"/>
    <w:rsid w:val="00EC12FF"/>
    <w:rsid w:val="00EC5F49"/>
    <w:rsid w:val="00ED45DD"/>
    <w:rsid w:val="00ED5569"/>
    <w:rsid w:val="00EE3026"/>
    <w:rsid w:val="00EE3420"/>
    <w:rsid w:val="00EE7078"/>
    <w:rsid w:val="00EF5946"/>
    <w:rsid w:val="00EF72EA"/>
    <w:rsid w:val="00F04C79"/>
    <w:rsid w:val="00F11494"/>
    <w:rsid w:val="00F1390F"/>
    <w:rsid w:val="00F167C8"/>
    <w:rsid w:val="00F169A5"/>
    <w:rsid w:val="00F21E28"/>
    <w:rsid w:val="00F258A9"/>
    <w:rsid w:val="00F27C63"/>
    <w:rsid w:val="00F328C2"/>
    <w:rsid w:val="00F41CB0"/>
    <w:rsid w:val="00F424BF"/>
    <w:rsid w:val="00F43A19"/>
    <w:rsid w:val="00F44036"/>
    <w:rsid w:val="00F50C39"/>
    <w:rsid w:val="00F6171D"/>
    <w:rsid w:val="00F62963"/>
    <w:rsid w:val="00F62E68"/>
    <w:rsid w:val="00F7292B"/>
    <w:rsid w:val="00F72D44"/>
    <w:rsid w:val="00F8320C"/>
    <w:rsid w:val="00F86344"/>
    <w:rsid w:val="00F969D6"/>
    <w:rsid w:val="00F96D6E"/>
    <w:rsid w:val="00F96E01"/>
    <w:rsid w:val="00FA0345"/>
    <w:rsid w:val="00FB0A36"/>
    <w:rsid w:val="00FB0D1C"/>
    <w:rsid w:val="00FB2583"/>
    <w:rsid w:val="00FB5BA5"/>
    <w:rsid w:val="00FC4290"/>
    <w:rsid w:val="00FD5C48"/>
    <w:rsid w:val="00FD6A34"/>
    <w:rsid w:val="00FE24BC"/>
    <w:rsid w:val="00FE3A24"/>
    <w:rsid w:val="00FF02D5"/>
    <w:rsid w:val="01626E33"/>
    <w:rsid w:val="017A2F9F"/>
    <w:rsid w:val="01B67107"/>
    <w:rsid w:val="020F6D27"/>
    <w:rsid w:val="02217C74"/>
    <w:rsid w:val="026359B2"/>
    <w:rsid w:val="026B7642"/>
    <w:rsid w:val="02AC542A"/>
    <w:rsid w:val="038E49EB"/>
    <w:rsid w:val="03A45696"/>
    <w:rsid w:val="03B74B35"/>
    <w:rsid w:val="03D862B6"/>
    <w:rsid w:val="03FB4D0B"/>
    <w:rsid w:val="045B484E"/>
    <w:rsid w:val="047841EE"/>
    <w:rsid w:val="04A56073"/>
    <w:rsid w:val="04AD2B7D"/>
    <w:rsid w:val="04E841EF"/>
    <w:rsid w:val="05081AD1"/>
    <w:rsid w:val="052E6699"/>
    <w:rsid w:val="057728DC"/>
    <w:rsid w:val="05912D04"/>
    <w:rsid w:val="05C1448E"/>
    <w:rsid w:val="05C1761D"/>
    <w:rsid w:val="05D90398"/>
    <w:rsid w:val="05E52FAD"/>
    <w:rsid w:val="060A24AD"/>
    <w:rsid w:val="07640956"/>
    <w:rsid w:val="07A34544"/>
    <w:rsid w:val="08190B33"/>
    <w:rsid w:val="08C10882"/>
    <w:rsid w:val="08C7668D"/>
    <w:rsid w:val="08CC205B"/>
    <w:rsid w:val="08DB1609"/>
    <w:rsid w:val="09327D67"/>
    <w:rsid w:val="097859D4"/>
    <w:rsid w:val="09823D8A"/>
    <w:rsid w:val="09C9617E"/>
    <w:rsid w:val="0A280DE4"/>
    <w:rsid w:val="0A2D21B2"/>
    <w:rsid w:val="0A751EDD"/>
    <w:rsid w:val="0AB177F2"/>
    <w:rsid w:val="0AB319EF"/>
    <w:rsid w:val="0AEC3562"/>
    <w:rsid w:val="0B447CC4"/>
    <w:rsid w:val="0B5C19F8"/>
    <w:rsid w:val="0B6B4922"/>
    <w:rsid w:val="0B840250"/>
    <w:rsid w:val="0BBB1C03"/>
    <w:rsid w:val="0BBD1CFB"/>
    <w:rsid w:val="0BC63C92"/>
    <w:rsid w:val="0BCF17F7"/>
    <w:rsid w:val="0C1A7343"/>
    <w:rsid w:val="0C3C56A3"/>
    <w:rsid w:val="0C3E1C6B"/>
    <w:rsid w:val="0C8D0553"/>
    <w:rsid w:val="0C994F52"/>
    <w:rsid w:val="0CB6160D"/>
    <w:rsid w:val="0D4A231C"/>
    <w:rsid w:val="0DBA0DC1"/>
    <w:rsid w:val="0DCE605A"/>
    <w:rsid w:val="0E5158C5"/>
    <w:rsid w:val="0EA66A76"/>
    <w:rsid w:val="0EAD6E68"/>
    <w:rsid w:val="0EB15612"/>
    <w:rsid w:val="0ECF621B"/>
    <w:rsid w:val="0EFB5876"/>
    <w:rsid w:val="0F107EE3"/>
    <w:rsid w:val="0F3B4594"/>
    <w:rsid w:val="0F4603E9"/>
    <w:rsid w:val="0F5D6174"/>
    <w:rsid w:val="0F8109EA"/>
    <w:rsid w:val="0F931176"/>
    <w:rsid w:val="0FC0132B"/>
    <w:rsid w:val="0FCF39BD"/>
    <w:rsid w:val="100A1A0C"/>
    <w:rsid w:val="1016071E"/>
    <w:rsid w:val="10325A41"/>
    <w:rsid w:val="10656E2F"/>
    <w:rsid w:val="1084224C"/>
    <w:rsid w:val="10DB232E"/>
    <w:rsid w:val="1113718A"/>
    <w:rsid w:val="114859F3"/>
    <w:rsid w:val="12554B29"/>
    <w:rsid w:val="12AD3E7D"/>
    <w:rsid w:val="12C42FA0"/>
    <w:rsid w:val="12D35C61"/>
    <w:rsid w:val="12E0359D"/>
    <w:rsid w:val="12EA2F1A"/>
    <w:rsid w:val="130558D9"/>
    <w:rsid w:val="13424E21"/>
    <w:rsid w:val="137F545A"/>
    <w:rsid w:val="13801D6F"/>
    <w:rsid w:val="13841A7B"/>
    <w:rsid w:val="138B759A"/>
    <w:rsid w:val="13F46315"/>
    <w:rsid w:val="140D076E"/>
    <w:rsid w:val="140E2407"/>
    <w:rsid w:val="141F1F10"/>
    <w:rsid w:val="14611714"/>
    <w:rsid w:val="14CF05AD"/>
    <w:rsid w:val="14CF3275"/>
    <w:rsid w:val="14E8356B"/>
    <w:rsid w:val="14EB3F48"/>
    <w:rsid w:val="14FD41CB"/>
    <w:rsid w:val="15546C2C"/>
    <w:rsid w:val="158240BB"/>
    <w:rsid w:val="160D5A33"/>
    <w:rsid w:val="164B77DE"/>
    <w:rsid w:val="164E5E0B"/>
    <w:rsid w:val="17532A55"/>
    <w:rsid w:val="17932EDC"/>
    <w:rsid w:val="17A36DDB"/>
    <w:rsid w:val="17A532AB"/>
    <w:rsid w:val="180B07AE"/>
    <w:rsid w:val="181A2360"/>
    <w:rsid w:val="181F4708"/>
    <w:rsid w:val="18221462"/>
    <w:rsid w:val="184F1121"/>
    <w:rsid w:val="185B2A86"/>
    <w:rsid w:val="18C66253"/>
    <w:rsid w:val="18CD5743"/>
    <w:rsid w:val="197B50D2"/>
    <w:rsid w:val="19926875"/>
    <w:rsid w:val="1A297DDD"/>
    <w:rsid w:val="1A7919B9"/>
    <w:rsid w:val="1B1350D9"/>
    <w:rsid w:val="1B9A7C0E"/>
    <w:rsid w:val="1B9B203B"/>
    <w:rsid w:val="1BFD1CC9"/>
    <w:rsid w:val="1C96385A"/>
    <w:rsid w:val="1CE92F5C"/>
    <w:rsid w:val="1D437979"/>
    <w:rsid w:val="1D4708B1"/>
    <w:rsid w:val="1D656164"/>
    <w:rsid w:val="1E8900BD"/>
    <w:rsid w:val="1EC07E97"/>
    <w:rsid w:val="1ECB269E"/>
    <w:rsid w:val="1EE66C3C"/>
    <w:rsid w:val="1EF96BEA"/>
    <w:rsid w:val="1F116510"/>
    <w:rsid w:val="1F1C3B7B"/>
    <w:rsid w:val="200551AB"/>
    <w:rsid w:val="205932DE"/>
    <w:rsid w:val="20A03801"/>
    <w:rsid w:val="20BC5FF2"/>
    <w:rsid w:val="219D4F8D"/>
    <w:rsid w:val="222807B1"/>
    <w:rsid w:val="22435D4E"/>
    <w:rsid w:val="2245419D"/>
    <w:rsid w:val="22FE317D"/>
    <w:rsid w:val="237704D4"/>
    <w:rsid w:val="237F05E8"/>
    <w:rsid w:val="23891077"/>
    <w:rsid w:val="23A1558C"/>
    <w:rsid w:val="23BE50B1"/>
    <w:rsid w:val="2422161E"/>
    <w:rsid w:val="246E6851"/>
    <w:rsid w:val="24942E5E"/>
    <w:rsid w:val="24954F65"/>
    <w:rsid w:val="24C7511E"/>
    <w:rsid w:val="24E54C39"/>
    <w:rsid w:val="257F04AC"/>
    <w:rsid w:val="25E53B95"/>
    <w:rsid w:val="25EB17AB"/>
    <w:rsid w:val="25FF1317"/>
    <w:rsid w:val="26487E8F"/>
    <w:rsid w:val="266362EA"/>
    <w:rsid w:val="26791D53"/>
    <w:rsid w:val="268A5041"/>
    <w:rsid w:val="269A59A1"/>
    <w:rsid w:val="26D96305"/>
    <w:rsid w:val="26E96527"/>
    <w:rsid w:val="27293F76"/>
    <w:rsid w:val="275642B6"/>
    <w:rsid w:val="2797346E"/>
    <w:rsid w:val="27984D8A"/>
    <w:rsid w:val="27CC625C"/>
    <w:rsid w:val="27FF1758"/>
    <w:rsid w:val="28026E78"/>
    <w:rsid w:val="28406D20"/>
    <w:rsid w:val="28567A9F"/>
    <w:rsid w:val="285745A9"/>
    <w:rsid w:val="28604488"/>
    <w:rsid w:val="287F60B2"/>
    <w:rsid w:val="29696297"/>
    <w:rsid w:val="297011FE"/>
    <w:rsid w:val="29F90436"/>
    <w:rsid w:val="29FF1B5A"/>
    <w:rsid w:val="2A254E63"/>
    <w:rsid w:val="2A275D31"/>
    <w:rsid w:val="2A32314C"/>
    <w:rsid w:val="2AE168E0"/>
    <w:rsid w:val="2B2F33CE"/>
    <w:rsid w:val="2B762790"/>
    <w:rsid w:val="2BAC2B14"/>
    <w:rsid w:val="2BC73FBA"/>
    <w:rsid w:val="2BFF60E5"/>
    <w:rsid w:val="2C0042E3"/>
    <w:rsid w:val="2C0D59AC"/>
    <w:rsid w:val="2C2D5D74"/>
    <w:rsid w:val="2C334F61"/>
    <w:rsid w:val="2C3D20DB"/>
    <w:rsid w:val="2C6423B2"/>
    <w:rsid w:val="2C71221F"/>
    <w:rsid w:val="2C715093"/>
    <w:rsid w:val="2CCD48EF"/>
    <w:rsid w:val="2CF75D34"/>
    <w:rsid w:val="2DDB0952"/>
    <w:rsid w:val="2E0221C2"/>
    <w:rsid w:val="2E0C46C8"/>
    <w:rsid w:val="2E2A738E"/>
    <w:rsid w:val="2E4A0CBE"/>
    <w:rsid w:val="2EAB46F5"/>
    <w:rsid w:val="2EC6420A"/>
    <w:rsid w:val="2EF3059D"/>
    <w:rsid w:val="2F1C3DF2"/>
    <w:rsid w:val="2F2C0A85"/>
    <w:rsid w:val="2F414FFF"/>
    <w:rsid w:val="2F8D5831"/>
    <w:rsid w:val="2FA6445E"/>
    <w:rsid w:val="2FAC25DB"/>
    <w:rsid w:val="2FAF3097"/>
    <w:rsid w:val="2FB617C0"/>
    <w:rsid w:val="300C6664"/>
    <w:rsid w:val="30450B4E"/>
    <w:rsid w:val="30465275"/>
    <w:rsid w:val="31061102"/>
    <w:rsid w:val="31A04CAD"/>
    <w:rsid w:val="31A70211"/>
    <w:rsid w:val="31B15053"/>
    <w:rsid w:val="320A79AF"/>
    <w:rsid w:val="3256082B"/>
    <w:rsid w:val="327D7E69"/>
    <w:rsid w:val="32826152"/>
    <w:rsid w:val="32EC51EE"/>
    <w:rsid w:val="33116010"/>
    <w:rsid w:val="331546C4"/>
    <w:rsid w:val="33656AA9"/>
    <w:rsid w:val="33782EB9"/>
    <w:rsid w:val="33A16094"/>
    <w:rsid w:val="33E6234B"/>
    <w:rsid w:val="33F80618"/>
    <w:rsid w:val="340E49EF"/>
    <w:rsid w:val="3465554A"/>
    <w:rsid w:val="34983DE3"/>
    <w:rsid w:val="34A64D07"/>
    <w:rsid w:val="34B10AAC"/>
    <w:rsid w:val="34BF6C35"/>
    <w:rsid w:val="34F5635F"/>
    <w:rsid w:val="354811BC"/>
    <w:rsid w:val="35521A2B"/>
    <w:rsid w:val="355E472E"/>
    <w:rsid w:val="359E40E8"/>
    <w:rsid w:val="35C22B6B"/>
    <w:rsid w:val="35EA737B"/>
    <w:rsid w:val="36706ADF"/>
    <w:rsid w:val="36833C5C"/>
    <w:rsid w:val="36A129F2"/>
    <w:rsid w:val="36B3095D"/>
    <w:rsid w:val="36D22597"/>
    <w:rsid w:val="371719A6"/>
    <w:rsid w:val="371E35B2"/>
    <w:rsid w:val="37564D03"/>
    <w:rsid w:val="37751EC2"/>
    <w:rsid w:val="37C77C1E"/>
    <w:rsid w:val="388010B8"/>
    <w:rsid w:val="38FA6DBA"/>
    <w:rsid w:val="390E5CB1"/>
    <w:rsid w:val="39474657"/>
    <w:rsid w:val="394E2214"/>
    <w:rsid w:val="399A1E48"/>
    <w:rsid w:val="39A10C32"/>
    <w:rsid w:val="39CC7911"/>
    <w:rsid w:val="39E44839"/>
    <w:rsid w:val="3A457B72"/>
    <w:rsid w:val="3A4A2286"/>
    <w:rsid w:val="3AA6726B"/>
    <w:rsid w:val="3AE82075"/>
    <w:rsid w:val="3B017FBE"/>
    <w:rsid w:val="3B307A72"/>
    <w:rsid w:val="3B9335A4"/>
    <w:rsid w:val="3B992613"/>
    <w:rsid w:val="3BB24F73"/>
    <w:rsid w:val="3BCD490E"/>
    <w:rsid w:val="3BDB6726"/>
    <w:rsid w:val="3C056780"/>
    <w:rsid w:val="3C0B3B20"/>
    <w:rsid w:val="3C1860E9"/>
    <w:rsid w:val="3C265FAB"/>
    <w:rsid w:val="3C45620B"/>
    <w:rsid w:val="3D7312A1"/>
    <w:rsid w:val="3D8F2FFE"/>
    <w:rsid w:val="3D8F779B"/>
    <w:rsid w:val="3DB31849"/>
    <w:rsid w:val="3E15702B"/>
    <w:rsid w:val="3E247857"/>
    <w:rsid w:val="3E8E1797"/>
    <w:rsid w:val="3E984240"/>
    <w:rsid w:val="3EAD34C3"/>
    <w:rsid w:val="3EBE7C37"/>
    <w:rsid w:val="3F0C21A5"/>
    <w:rsid w:val="3F120426"/>
    <w:rsid w:val="3F1976B6"/>
    <w:rsid w:val="3F5E6431"/>
    <w:rsid w:val="3F8C0907"/>
    <w:rsid w:val="3F9B5E29"/>
    <w:rsid w:val="400454FD"/>
    <w:rsid w:val="40552C1F"/>
    <w:rsid w:val="4057229F"/>
    <w:rsid w:val="405F7DEE"/>
    <w:rsid w:val="40992FB0"/>
    <w:rsid w:val="40DB7824"/>
    <w:rsid w:val="40F034BF"/>
    <w:rsid w:val="410115DD"/>
    <w:rsid w:val="418A21AD"/>
    <w:rsid w:val="41A212A1"/>
    <w:rsid w:val="41EC42BB"/>
    <w:rsid w:val="4239228E"/>
    <w:rsid w:val="428A1304"/>
    <w:rsid w:val="42E44C98"/>
    <w:rsid w:val="431B6113"/>
    <w:rsid w:val="438834DF"/>
    <w:rsid w:val="43A20A3C"/>
    <w:rsid w:val="43A479EC"/>
    <w:rsid w:val="440B4462"/>
    <w:rsid w:val="444C66C3"/>
    <w:rsid w:val="44630F9F"/>
    <w:rsid w:val="446A3603"/>
    <w:rsid w:val="458B573C"/>
    <w:rsid w:val="45CE60A3"/>
    <w:rsid w:val="461C57E1"/>
    <w:rsid w:val="464D2106"/>
    <w:rsid w:val="46572A53"/>
    <w:rsid w:val="465B2718"/>
    <w:rsid w:val="46651F6D"/>
    <w:rsid w:val="46BE763A"/>
    <w:rsid w:val="46C178CC"/>
    <w:rsid w:val="46F31024"/>
    <w:rsid w:val="46FD3AFE"/>
    <w:rsid w:val="471E0A34"/>
    <w:rsid w:val="4723739A"/>
    <w:rsid w:val="47250EF5"/>
    <w:rsid w:val="47C21415"/>
    <w:rsid w:val="48206AB3"/>
    <w:rsid w:val="4849652E"/>
    <w:rsid w:val="487415C1"/>
    <w:rsid w:val="48813383"/>
    <w:rsid w:val="48994869"/>
    <w:rsid w:val="489B6E47"/>
    <w:rsid w:val="48B91344"/>
    <w:rsid w:val="48C3403D"/>
    <w:rsid w:val="4901682D"/>
    <w:rsid w:val="491F1E3E"/>
    <w:rsid w:val="4924336E"/>
    <w:rsid w:val="497E4D40"/>
    <w:rsid w:val="498D6EB3"/>
    <w:rsid w:val="49A14844"/>
    <w:rsid w:val="4A38329E"/>
    <w:rsid w:val="4A786E7C"/>
    <w:rsid w:val="4A812037"/>
    <w:rsid w:val="4ABF0429"/>
    <w:rsid w:val="4B05514E"/>
    <w:rsid w:val="4B7D224D"/>
    <w:rsid w:val="4B88354F"/>
    <w:rsid w:val="4B897577"/>
    <w:rsid w:val="4BA739F3"/>
    <w:rsid w:val="4BAA41B4"/>
    <w:rsid w:val="4BCA5B3F"/>
    <w:rsid w:val="4BCB2F27"/>
    <w:rsid w:val="4BEF3793"/>
    <w:rsid w:val="4BF4339D"/>
    <w:rsid w:val="4C8B29AF"/>
    <w:rsid w:val="4CA010BB"/>
    <w:rsid w:val="4CBA3F1B"/>
    <w:rsid w:val="4CC1550E"/>
    <w:rsid w:val="4CCB5B06"/>
    <w:rsid w:val="4D0A37F3"/>
    <w:rsid w:val="4D380018"/>
    <w:rsid w:val="4D585803"/>
    <w:rsid w:val="4D7D0483"/>
    <w:rsid w:val="4D8712EF"/>
    <w:rsid w:val="4DFC778B"/>
    <w:rsid w:val="4E2D0EEC"/>
    <w:rsid w:val="4E4C4964"/>
    <w:rsid w:val="4E5F365E"/>
    <w:rsid w:val="4E91728C"/>
    <w:rsid w:val="4EF42EFE"/>
    <w:rsid w:val="4FDE358A"/>
    <w:rsid w:val="500A487C"/>
    <w:rsid w:val="501832A3"/>
    <w:rsid w:val="50245B70"/>
    <w:rsid w:val="50632B28"/>
    <w:rsid w:val="50C63B0F"/>
    <w:rsid w:val="50F36C04"/>
    <w:rsid w:val="51011AC0"/>
    <w:rsid w:val="51086CD3"/>
    <w:rsid w:val="511B035E"/>
    <w:rsid w:val="512B6610"/>
    <w:rsid w:val="517A3160"/>
    <w:rsid w:val="51D53FD0"/>
    <w:rsid w:val="527F0375"/>
    <w:rsid w:val="528D4348"/>
    <w:rsid w:val="52BF3EA5"/>
    <w:rsid w:val="52E5462F"/>
    <w:rsid w:val="53030193"/>
    <w:rsid w:val="531427EC"/>
    <w:rsid w:val="531C785E"/>
    <w:rsid w:val="533770C8"/>
    <w:rsid w:val="5338243A"/>
    <w:rsid w:val="53BD0CC2"/>
    <w:rsid w:val="53E84DC7"/>
    <w:rsid w:val="54091EFA"/>
    <w:rsid w:val="543B42DA"/>
    <w:rsid w:val="54481E7C"/>
    <w:rsid w:val="54E64A90"/>
    <w:rsid w:val="54EF1C22"/>
    <w:rsid w:val="54F43EB0"/>
    <w:rsid w:val="55025399"/>
    <w:rsid w:val="55631682"/>
    <w:rsid w:val="55913DE9"/>
    <w:rsid w:val="55B36956"/>
    <w:rsid w:val="55BC0A87"/>
    <w:rsid w:val="55C44EE3"/>
    <w:rsid w:val="55CD6DBF"/>
    <w:rsid w:val="55D409AB"/>
    <w:rsid w:val="560E70A6"/>
    <w:rsid w:val="564C33E3"/>
    <w:rsid w:val="565A5E3A"/>
    <w:rsid w:val="56AA311A"/>
    <w:rsid w:val="56B357D4"/>
    <w:rsid w:val="576B630C"/>
    <w:rsid w:val="57906076"/>
    <w:rsid w:val="57F77E8D"/>
    <w:rsid w:val="584101D8"/>
    <w:rsid w:val="584366A5"/>
    <w:rsid w:val="58464AEC"/>
    <w:rsid w:val="58D37D03"/>
    <w:rsid w:val="58F80B81"/>
    <w:rsid w:val="59171D29"/>
    <w:rsid w:val="594B64BC"/>
    <w:rsid w:val="59C1394B"/>
    <w:rsid w:val="59E4333B"/>
    <w:rsid w:val="5A327175"/>
    <w:rsid w:val="5A461F67"/>
    <w:rsid w:val="5A4D12DB"/>
    <w:rsid w:val="5AA95942"/>
    <w:rsid w:val="5B7D608F"/>
    <w:rsid w:val="5B9A1A90"/>
    <w:rsid w:val="5BEA616D"/>
    <w:rsid w:val="5C620610"/>
    <w:rsid w:val="5C7C27CC"/>
    <w:rsid w:val="5C8E6646"/>
    <w:rsid w:val="5CA1473C"/>
    <w:rsid w:val="5D743AF2"/>
    <w:rsid w:val="5D784DB7"/>
    <w:rsid w:val="5D804113"/>
    <w:rsid w:val="5D86298B"/>
    <w:rsid w:val="5DF574B1"/>
    <w:rsid w:val="5E01598A"/>
    <w:rsid w:val="5E0518AE"/>
    <w:rsid w:val="5E7319C7"/>
    <w:rsid w:val="5F3F14B1"/>
    <w:rsid w:val="5F4A1944"/>
    <w:rsid w:val="5F736A1C"/>
    <w:rsid w:val="5F7C1524"/>
    <w:rsid w:val="61431576"/>
    <w:rsid w:val="61B07674"/>
    <w:rsid w:val="61D16983"/>
    <w:rsid w:val="63B16DA6"/>
    <w:rsid w:val="64325BAA"/>
    <w:rsid w:val="6474563E"/>
    <w:rsid w:val="64DD2E2F"/>
    <w:rsid w:val="650C79CC"/>
    <w:rsid w:val="651F0B40"/>
    <w:rsid w:val="654A3BA1"/>
    <w:rsid w:val="65720792"/>
    <w:rsid w:val="65727ED4"/>
    <w:rsid w:val="658D11B9"/>
    <w:rsid w:val="65A15618"/>
    <w:rsid w:val="660467A7"/>
    <w:rsid w:val="66471D7C"/>
    <w:rsid w:val="667D6EFB"/>
    <w:rsid w:val="66FD7813"/>
    <w:rsid w:val="67825ED9"/>
    <w:rsid w:val="67A0385B"/>
    <w:rsid w:val="67B37940"/>
    <w:rsid w:val="686C2A53"/>
    <w:rsid w:val="689C4BB9"/>
    <w:rsid w:val="68A245E2"/>
    <w:rsid w:val="68B0544A"/>
    <w:rsid w:val="690F3CAF"/>
    <w:rsid w:val="6A0C28CE"/>
    <w:rsid w:val="6A650A4D"/>
    <w:rsid w:val="6B7060C6"/>
    <w:rsid w:val="6C60029B"/>
    <w:rsid w:val="6C927168"/>
    <w:rsid w:val="6CE21475"/>
    <w:rsid w:val="6D8C5247"/>
    <w:rsid w:val="6E904287"/>
    <w:rsid w:val="6EA83056"/>
    <w:rsid w:val="6EB55F1D"/>
    <w:rsid w:val="6EBE51FD"/>
    <w:rsid w:val="6EF364B6"/>
    <w:rsid w:val="6F2540A9"/>
    <w:rsid w:val="700A66D9"/>
    <w:rsid w:val="700B56BF"/>
    <w:rsid w:val="700F5C73"/>
    <w:rsid w:val="70817FC6"/>
    <w:rsid w:val="70AF0E0B"/>
    <w:rsid w:val="70C87CAA"/>
    <w:rsid w:val="70CF179B"/>
    <w:rsid w:val="71723BF8"/>
    <w:rsid w:val="71A35C69"/>
    <w:rsid w:val="71B459C5"/>
    <w:rsid w:val="71CB4143"/>
    <w:rsid w:val="721C092E"/>
    <w:rsid w:val="723D7934"/>
    <w:rsid w:val="727266B8"/>
    <w:rsid w:val="72804A5F"/>
    <w:rsid w:val="72C81D24"/>
    <w:rsid w:val="72E710F2"/>
    <w:rsid w:val="73510736"/>
    <w:rsid w:val="73772C48"/>
    <w:rsid w:val="73B34B68"/>
    <w:rsid w:val="73C87749"/>
    <w:rsid w:val="742D20BE"/>
    <w:rsid w:val="74300B51"/>
    <w:rsid w:val="74373E1F"/>
    <w:rsid w:val="74557B08"/>
    <w:rsid w:val="745909D3"/>
    <w:rsid w:val="74757604"/>
    <w:rsid w:val="756026FD"/>
    <w:rsid w:val="757027FD"/>
    <w:rsid w:val="764C7835"/>
    <w:rsid w:val="76606237"/>
    <w:rsid w:val="76BC0040"/>
    <w:rsid w:val="76E97240"/>
    <w:rsid w:val="77547F95"/>
    <w:rsid w:val="77581BDC"/>
    <w:rsid w:val="77DF77F2"/>
    <w:rsid w:val="77F53FBA"/>
    <w:rsid w:val="77FE3901"/>
    <w:rsid w:val="78A056D5"/>
    <w:rsid w:val="78B612F9"/>
    <w:rsid w:val="78B86F01"/>
    <w:rsid w:val="78BD180A"/>
    <w:rsid w:val="78BD2213"/>
    <w:rsid w:val="78CA62AD"/>
    <w:rsid w:val="79383F91"/>
    <w:rsid w:val="796C56F2"/>
    <w:rsid w:val="79DA4CD9"/>
    <w:rsid w:val="79DC3C10"/>
    <w:rsid w:val="79F32D29"/>
    <w:rsid w:val="7A3031E0"/>
    <w:rsid w:val="7A5F3AF6"/>
    <w:rsid w:val="7A640644"/>
    <w:rsid w:val="7A66765A"/>
    <w:rsid w:val="7AB07AB2"/>
    <w:rsid w:val="7B7C3CE3"/>
    <w:rsid w:val="7B84301F"/>
    <w:rsid w:val="7B8579B2"/>
    <w:rsid w:val="7B937DA9"/>
    <w:rsid w:val="7BB813CF"/>
    <w:rsid w:val="7BFB159A"/>
    <w:rsid w:val="7C240326"/>
    <w:rsid w:val="7C5365EF"/>
    <w:rsid w:val="7C5F4A2B"/>
    <w:rsid w:val="7C6E6F9B"/>
    <w:rsid w:val="7C724B1A"/>
    <w:rsid w:val="7D7923C1"/>
    <w:rsid w:val="7DDB79A8"/>
    <w:rsid w:val="7DE6477E"/>
    <w:rsid w:val="7E17286F"/>
    <w:rsid w:val="7E265B35"/>
    <w:rsid w:val="7E395726"/>
    <w:rsid w:val="7E54076D"/>
    <w:rsid w:val="7E836D97"/>
    <w:rsid w:val="7E8E73EF"/>
    <w:rsid w:val="7EF23A73"/>
    <w:rsid w:val="7F523D4E"/>
    <w:rsid w:val="7F7D4793"/>
    <w:rsid w:val="F3FD6B2F"/>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8">
    <w:name w:val="Default Paragraph Font"/>
    <w:unhideWhenUsed/>
    <w:qFormat/>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2">
    <w:name w:val="Body Text Indent 2"/>
    <w:basedOn w:val="1"/>
    <w:qFormat/>
    <w:uiPriority w:val="0"/>
    <w:pPr>
      <w:spacing w:after="120" w:afterLines="0" w:afterAutospacing="0" w:line="480" w:lineRule="auto"/>
      <w:ind w:left="420" w:leftChars="200"/>
    </w:pPr>
  </w:style>
  <w:style w:type="paragraph" w:styleId="3">
    <w:name w:val="Balloon Text"/>
    <w:basedOn w:val="1"/>
    <w:link w:val="14"/>
    <w:unhideWhenUsed/>
    <w:qFormat/>
    <w:uiPriority w:val="99"/>
    <w:rPr>
      <w:sz w:val="18"/>
      <w:szCs w:val="18"/>
    </w:rPr>
  </w:style>
  <w:style w:type="paragraph" w:styleId="4">
    <w:name w:val="footer"/>
    <w:basedOn w:val="1"/>
    <w:link w:val="13"/>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9">
    <w:name w:val="Strong"/>
    <w:basedOn w:val="8"/>
    <w:qFormat/>
    <w:uiPriority w:val="0"/>
    <w:rPr>
      <w:b/>
    </w:rPr>
  </w:style>
  <w:style w:type="paragraph" w:styleId="10">
    <w:name w:val="List Paragraph"/>
    <w:basedOn w:val="1"/>
    <w:qFormat/>
    <w:uiPriority w:val="34"/>
    <w:pPr>
      <w:ind w:firstLine="420" w:firstLineChars="200"/>
    </w:pPr>
  </w:style>
  <w:style w:type="paragraph" w:customStyle="1" w:styleId="11">
    <w:name w:val="普通(网站) Char"/>
    <w:basedOn w:val="1"/>
    <w:qFormat/>
    <w:uiPriority w:val="0"/>
    <w:pPr>
      <w:spacing w:before="100" w:beforeAutospacing="1" w:after="100" w:afterAutospacing="1"/>
      <w:ind w:left="0" w:right="0"/>
      <w:jc w:val="left"/>
    </w:pPr>
    <w:rPr>
      <w:rFonts w:hint="eastAsia" w:ascii="宋体" w:hAnsi="宋体" w:eastAsia="宋体" w:cs="宋体"/>
      <w:kern w:val="0"/>
      <w:sz w:val="24"/>
      <w:szCs w:val="24"/>
      <w:lang w:val="en-US" w:eastAsia="zh-CN" w:bidi="ar"/>
    </w:rPr>
  </w:style>
  <w:style w:type="character" w:customStyle="1" w:styleId="12">
    <w:name w:val="页眉 字符"/>
    <w:link w:val="5"/>
    <w:qFormat/>
    <w:uiPriority w:val="99"/>
    <w:rPr>
      <w:sz w:val="18"/>
      <w:szCs w:val="18"/>
    </w:rPr>
  </w:style>
  <w:style w:type="character" w:customStyle="1" w:styleId="13">
    <w:name w:val="页脚 字符"/>
    <w:link w:val="4"/>
    <w:qFormat/>
    <w:uiPriority w:val="99"/>
    <w:rPr>
      <w:sz w:val="18"/>
      <w:szCs w:val="18"/>
    </w:rPr>
  </w:style>
  <w:style w:type="character" w:customStyle="1" w:styleId="14">
    <w:name w:val="批注框文本 字符"/>
    <w:link w:val="3"/>
    <w:semiHidden/>
    <w:qFormat/>
    <w:uiPriority w:val="99"/>
    <w:rPr>
      <w:kern w:val="2"/>
      <w:sz w:val="18"/>
      <w:szCs w:val="18"/>
    </w:rPr>
  </w:style>
  <w:style w:type="character" w:customStyle="1" w:styleId="15">
    <w:name w:val="23"/>
    <w:basedOn w:val="8"/>
    <w:qFormat/>
    <w:uiPriority w:val="0"/>
    <w:rPr>
      <w:rFonts w:hint="default" w:ascii="Times New Roman" w:hAnsi="Times New Roman" w:cs="Times New Roman"/>
      <w:b/>
    </w:rPr>
  </w:style>
  <w:style w:type="character" w:customStyle="1" w:styleId="16">
    <w:name w:val="页脚 Char"/>
    <w:qFormat/>
    <w:uiPriority w:val="99"/>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12</Pages>
  <Words>4759</Words>
  <Characters>5280</Characters>
  <Lines>16</Lines>
  <Paragraphs>4</Paragraphs>
  <TotalTime>255</TotalTime>
  <ScaleCrop>false</ScaleCrop>
  <LinksUpToDate>false</LinksUpToDate>
  <CharactersWithSpaces>5293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2021-07-06T14:32:00Z</dcterms:created>
  <dc:creator>微软用户</dc:creator>
  <cp:lastModifiedBy>王璇</cp:lastModifiedBy>
  <cp:lastPrinted>2025-08-18T02:15:00Z</cp:lastPrinted>
  <dcterms:modified xsi:type="dcterms:W3CDTF">2025-08-20T02:17:58Z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C5C051BE58ED47B681D748640379E264</vt:lpwstr>
  </property>
  <property fmtid="{D5CDD505-2E9C-101B-9397-08002B2CF9AE}" pid="4" name="KSOTemplateDocerSaveRecord">
    <vt:lpwstr>eyJoZGlkIjoiYjZkMjZjZjBlNzBhZjEwZTgzNTFlMGU2N2NkNDQwYWYifQ==</vt:lpwstr>
  </property>
</Properties>
</file>