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50241A">
      <w:pPr>
        <w:keepNext w:val="0"/>
        <w:keepLines w:val="0"/>
        <w:pageBreakBefore w:val="0"/>
        <w:kinsoku/>
        <w:wordWrap/>
        <w:overflowPunct/>
        <w:topLinePunct w:val="0"/>
        <w:autoSpaceDN/>
        <w:bidi w:val="0"/>
        <w:snapToGrid/>
        <w:spacing w:line="579" w:lineRule="exact"/>
        <w:textAlignment w:val="auto"/>
        <w:rPr>
          <w:rFonts w:hint="eastAsia" w:ascii="宋体" w:hAnsi="宋体" w:eastAsia="方正仿宋_GBK" w:cs="方正仿宋_GBK"/>
          <w:sz w:val="44"/>
          <w:szCs w:val="44"/>
          <w:lang w:eastAsia="zh-CN"/>
        </w:rPr>
      </w:pPr>
    </w:p>
    <w:p w14:paraId="274C209F">
      <w:pPr>
        <w:keepNext w:val="0"/>
        <w:keepLines w:val="0"/>
        <w:pageBreakBefore w:val="0"/>
        <w:kinsoku/>
        <w:wordWrap/>
        <w:overflowPunct/>
        <w:topLinePunct w:val="0"/>
        <w:autoSpaceDN/>
        <w:bidi w:val="0"/>
        <w:snapToGrid/>
        <w:spacing w:line="579" w:lineRule="exact"/>
        <w:textAlignment w:val="auto"/>
        <w:rPr>
          <w:rFonts w:hint="eastAsia" w:ascii="宋体" w:hAnsi="宋体" w:eastAsia="方正仿宋_GBK" w:cs="方正仿宋_GBK"/>
          <w:sz w:val="44"/>
          <w:szCs w:val="44"/>
          <w:lang w:eastAsia="zh-CN"/>
        </w:rPr>
      </w:pPr>
    </w:p>
    <w:p w14:paraId="060C63EC">
      <w:pPr>
        <w:keepNext w:val="0"/>
        <w:keepLines w:val="0"/>
        <w:pageBreakBefore w:val="0"/>
        <w:kinsoku/>
        <w:wordWrap/>
        <w:overflowPunct/>
        <w:topLinePunct w:val="0"/>
        <w:autoSpaceDN/>
        <w:bidi w:val="0"/>
        <w:snapToGrid/>
        <w:spacing w:line="579" w:lineRule="exact"/>
        <w:jc w:val="center"/>
        <w:textAlignment w:val="auto"/>
        <w:rPr>
          <w:rFonts w:hint="eastAsia" w:ascii="宋体" w:hAnsi="宋体" w:eastAsia="方正小标宋_GBK" w:cs="方正小标宋_GBK"/>
          <w:sz w:val="44"/>
          <w:szCs w:val="44"/>
          <w:lang w:eastAsia="zh-CN"/>
        </w:rPr>
      </w:pPr>
      <w:r>
        <w:rPr>
          <w:rFonts w:hint="eastAsia" w:ascii="宋体" w:hAnsi="宋体" w:eastAsia="方正小标宋_GBK" w:cs="方正小标宋_GBK"/>
          <w:sz w:val="44"/>
          <w:szCs w:val="44"/>
          <w:lang w:eastAsia="zh-CN"/>
        </w:rPr>
        <w:t>重庆市江津区交通运输综合行政执法支队</w:t>
      </w:r>
    </w:p>
    <w:p w14:paraId="309E526A">
      <w:pPr>
        <w:keepNext w:val="0"/>
        <w:keepLines w:val="0"/>
        <w:pageBreakBefore w:val="0"/>
        <w:kinsoku/>
        <w:wordWrap/>
        <w:overflowPunct/>
        <w:topLinePunct w:val="0"/>
        <w:autoSpaceDN/>
        <w:bidi w:val="0"/>
        <w:snapToGrid/>
        <w:spacing w:line="579" w:lineRule="exact"/>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rPr>
        <w:t>202</w:t>
      </w:r>
      <w:r>
        <w:rPr>
          <w:rFonts w:hint="eastAsia" w:ascii="宋体" w:hAnsi="宋体" w:eastAsia="方正小标宋_GBK" w:cs="方正小标宋_GBK"/>
          <w:sz w:val="44"/>
          <w:szCs w:val="44"/>
          <w:lang w:val="en-US" w:eastAsia="zh-CN"/>
        </w:rPr>
        <w:t>4年度决算公开</w:t>
      </w:r>
      <w:r>
        <w:rPr>
          <w:rFonts w:hint="eastAsia" w:ascii="宋体" w:hAnsi="宋体" w:eastAsia="方正小标宋_GBK" w:cs="方正小标宋_GBK"/>
          <w:sz w:val="44"/>
          <w:szCs w:val="44"/>
        </w:rPr>
        <w:t>说明</w:t>
      </w:r>
    </w:p>
    <w:p w14:paraId="3171C46D">
      <w:pPr>
        <w:keepNext w:val="0"/>
        <w:keepLines w:val="0"/>
        <w:pageBreakBefore w:val="0"/>
        <w:kinsoku/>
        <w:wordWrap/>
        <w:overflowPunct/>
        <w:topLinePunct w:val="0"/>
        <w:autoSpaceDN/>
        <w:bidi w:val="0"/>
        <w:snapToGrid/>
        <w:spacing w:line="579" w:lineRule="exact"/>
        <w:ind w:firstLine="1100" w:firstLineChars="250"/>
        <w:textAlignment w:val="auto"/>
        <w:rPr>
          <w:rFonts w:hint="eastAsia" w:ascii="宋体" w:hAnsi="宋体" w:eastAsia="方正仿宋_GBK" w:cs="方正仿宋_GBK"/>
          <w:sz w:val="44"/>
          <w:szCs w:val="44"/>
        </w:rPr>
      </w:pPr>
    </w:p>
    <w:p w14:paraId="60FE5FAC">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一、单位基本情况</w:t>
      </w:r>
    </w:p>
    <w:p w14:paraId="79B8054B">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方正仿宋_GBK" w:hAnsi="方正仿宋_GBK" w:eastAsia="方正仿宋_GBK" w:cs="方正仿宋_GBK"/>
          <w:sz w:val="32"/>
        </w:rPr>
      </w:pPr>
      <w:r>
        <w:rPr>
          <w:rFonts w:hint="eastAsia" w:ascii="宋体" w:hAnsi="宋体" w:eastAsia="方正楷体_GBK" w:cs="方正楷体_GBK"/>
          <w:kern w:val="0"/>
          <w:sz w:val="32"/>
          <w:szCs w:val="32"/>
          <w:lang w:eastAsia="zh-CN"/>
        </w:rPr>
        <w:t>（</w:t>
      </w:r>
      <w:r>
        <w:rPr>
          <w:rFonts w:hint="eastAsia" w:ascii="宋体" w:hAnsi="宋体" w:eastAsia="方正楷体_GBK" w:cs="方正楷体_GBK"/>
          <w:kern w:val="0"/>
          <w:sz w:val="32"/>
          <w:szCs w:val="32"/>
          <w:lang w:val="en-US" w:eastAsia="zh-CN"/>
        </w:rPr>
        <w:t>一</w:t>
      </w:r>
      <w:r>
        <w:rPr>
          <w:rFonts w:hint="eastAsia" w:ascii="宋体" w:hAnsi="宋体" w:eastAsia="方正楷体_GBK" w:cs="方正楷体_GBK"/>
          <w:kern w:val="0"/>
          <w:sz w:val="32"/>
          <w:szCs w:val="32"/>
          <w:lang w:eastAsia="zh-CN"/>
        </w:rPr>
        <w:t>）</w:t>
      </w:r>
      <w:r>
        <w:rPr>
          <w:rFonts w:hint="eastAsia" w:ascii="宋体" w:hAnsi="宋体" w:eastAsia="方正楷体_GBK" w:cs="方正楷体_GBK"/>
          <w:kern w:val="0"/>
          <w:sz w:val="32"/>
          <w:szCs w:val="32"/>
          <w:lang w:val="en-US" w:eastAsia="zh-CN"/>
        </w:rPr>
        <w:t>职能职责</w:t>
      </w:r>
    </w:p>
    <w:p w14:paraId="58532C2C">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1</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宣传贯彻交通运输行政执法方面的法律、法规、规章和方针政策。</w:t>
      </w:r>
    </w:p>
    <w:p w14:paraId="256E12D4">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2</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承担全区交通运输综合行政执法组织协调。组织开展有关专项执法。拟订交通运输综合行政执法管理制度。</w:t>
      </w:r>
    </w:p>
    <w:p w14:paraId="7AD62674">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3</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承担辖区范围内公路路政执法，依法维护国省干线、县道的路产路权，查处违反公路路政管理规定的行为；依法承担公路超限运输治理的执法工作。</w:t>
      </w:r>
    </w:p>
    <w:p w14:paraId="3590BE64">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4</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 xml:space="preserve">承担辖区范围内道路运政执法，依法对道路运输经营者的经营行为、从事道路运输车辆的技术状况进行监督检查；依法对在公路和其他经营场所、客货集散地从事道路运输经营和道路运输相关业务的经营者进行监督检查；依法行使道路运输市场动态监管职责；依法查处未经许可从事道路运输经营等违反道路运输管理的行为。 </w:t>
      </w:r>
    </w:p>
    <w:p w14:paraId="6A38967B">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5</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承担辖区范围内地方通航水域水路运输、港口、码头、渡口、地方航道、地方海事行政执法和渔船检验的监督；依法对水路运输、港口、码头经营者进行日常监督管理。</w:t>
      </w:r>
    </w:p>
    <w:p w14:paraId="44DAA3B3">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6</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承担辖区范围内公路水运工程质量和安全生产管理的行政执法工作；依法承担公路建设市场行政执法工作。</w:t>
      </w:r>
    </w:p>
    <w:p w14:paraId="49FA5D99">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7</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承担辖区范围内地方铁路安全监督管理和行政执法工作。</w:t>
      </w:r>
    </w:p>
    <w:p w14:paraId="32CBA2E1">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8</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依法承担交通运输行业安全生产、污染防治监督管理和行政执法。</w:t>
      </w:r>
    </w:p>
    <w:p w14:paraId="0506552E">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9</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指导镇（街）对乡村公路开展行政执法工作。</w:t>
      </w:r>
    </w:p>
    <w:p w14:paraId="2E7DDD43">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10</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承担交通运输综合行政执法有关信访、投诉举报受理、纠纷调解工作。</w:t>
      </w:r>
    </w:p>
    <w:p w14:paraId="01686C17">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11</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组织实施交通运输综合行政执法队伍建设管理工作。</w:t>
      </w:r>
    </w:p>
    <w:p w14:paraId="22D99778">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12</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参与交通运输生产安全事故的调查工作。</w:t>
      </w:r>
    </w:p>
    <w:p w14:paraId="717D0702">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13</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承担与交通运输综合行政执法有关的应急工作。</w:t>
      </w:r>
    </w:p>
    <w:p w14:paraId="7151A69D">
      <w:pPr>
        <w:spacing w:line="600" w:lineRule="exact"/>
        <w:ind w:firstLine="640" w:firstLineChars="200"/>
        <w:rPr>
          <w:rFonts w:hint="eastAsia" w:ascii="方正仿宋_GBK" w:hAnsi="方正仿宋_GBK" w:eastAsia="方正仿宋_GBK" w:cs="方正仿宋_GBK"/>
          <w:sz w:val="32"/>
        </w:rPr>
      </w:pPr>
      <w:r>
        <w:rPr>
          <w:rFonts w:hint="eastAsia" w:ascii="Times New Roman" w:hAnsi="Times New Roman" w:eastAsia="方正仿宋_GBK" w:cs="宋体"/>
          <w:color w:val="000000"/>
          <w:kern w:val="0"/>
          <w:sz w:val="32"/>
          <w:szCs w:val="32"/>
          <w:lang w:val="en-US" w:eastAsia="zh-CN" w:bidi="ar-SA"/>
        </w:rPr>
        <w:t>14</w:t>
      </w:r>
      <w:r>
        <w:rPr>
          <w:rFonts w:hint="default" w:ascii="Times New Roman" w:hAnsi="Times New Roman" w:eastAsia="方正仿宋_GBK" w:cs="Times New Roman"/>
          <w:sz w:val="32"/>
          <w:szCs w:val="32"/>
          <w:lang w:val="en-US" w:eastAsia="zh-CN"/>
        </w:rPr>
        <w:t>.</w:t>
      </w:r>
      <w:r>
        <w:rPr>
          <w:rFonts w:hint="eastAsia" w:ascii="方正仿宋_GBK" w:hAnsi="方正仿宋_GBK" w:eastAsia="方正仿宋_GBK" w:cs="方正仿宋_GBK"/>
          <w:sz w:val="32"/>
        </w:rPr>
        <w:t>完成区委、区政府和区交</w:t>
      </w:r>
      <w:r>
        <w:rPr>
          <w:rFonts w:hint="eastAsia" w:ascii="方正仿宋_GBK" w:hAnsi="方正仿宋_GBK" w:eastAsia="方正仿宋_GBK" w:cs="方正仿宋_GBK"/>
          <w:sz w:val="32"/>
          <w:lang w:eastAsia="zh-CN"/>
        </w:rPr>
        <w:t>委</w:t>
      </w:r>
      <w:r>
        <w:rPr>
          <w:rFonts w:hint="eastAsia" w:ascii="方正仿宋_GBK" w:hAnsi="方正仿宋_GBK" w:eastAsia="方正仿宋_GBK" w:cs="方正仿宋_GBK"/>
          <w:sz w:val="32"/>
        </w:rPr>
        <w:t>交办的其他任务。</w:t>
      </w:r>
    </w:p>
    <w:p w14:paraId="2B9DCDC2">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kern w:val="0"/>
          <w:sz w:val="32"/>
          <w:szCs w:val="32"/>
          <w:lang w:eastAsia="zh-CN"/>
        </w:rPr>
      </w:pPr>
      <w:r>
        <w:rPr>
          <w:rFonts w:hint="eastAsia" w:ascii="宋体" w:hAnsi="宋体" w:eastAsia="方正楷体_GBK" w:cs="方正楷体_GBK"/>
          <w:kern w:val="0"/>
          <w:sz w:val="32"/>
          <w:szCs w:val="32"/>
          <w:lang w:val="en-US" w:eastAsia="zh-CN"/>
        </w:rPr>
        <w:t>机构设置</w:t>
      </w:r>
    </w:p>
    <w:p w14:paraId="3013BC43">
      <w:pPr>
        <w:spacing w:line="579" w:lineRule="exact"/>
        <w:ind w:firstLine="640" w:firstLineChars="200"/>
        <w:rPr>
          <w:rFonts w:hint="eastAsia" w:ascii="宋体" w:hAnsi="宋体" w:eastAsia="方正仿宋_GBK" w:cs="方正仿宋_GBK"/>
          <w:kern w:val="0"/>
          <w:sz w:val="32"/>
          <w:szCs w:val="32"/>
          <w:lang w:eastAsia="zh-CN"/>
        </w:rPr>
      </w:pPr>
      <w:r>
        <w:rPr>
          <w:rFonts w:hint="eastAsia" w:eastAsia="方正仿宋_GBK" w:cs="Times New Roman"/>
          <w:sz w:val="32"/>
          <w:szCs w:val="32"/>
          <w:lang w:val="en-US" w:eastAsia="zh-CN"/>
        </w:rPr>
        <w:t>现设有</w:t>
      </w:r>
      <w:r>
        <w:rPr>
          <w:rFonts w:hint="eastAsia" w:ascii="Times New Roman" w:hAnsi="Times New Roman" w:eastAsia="方正仿宋_GBK" w:cs="Times New Roman"/>
          <w:sz w:val="32"/>
          <w:szCs w:val="32"/>
          <w:lang w:val="en-US" w:eastAsia="zh-CN"/>
        </w:rPr>
        <w:t>十科二室十二个大队</w:t>
      </w:r>
      <w:r>
        <w:rPr>
          <w:rFonts w:hint="eastAsia" w:eastAsia="方正仿宋_GBK" w:cs="Times New Roman"/>
          <w:sz w:val="32"/>
          <w:szCs w:val="32"/>
          <w:lang w:val="en-US" w:eastAsia="zh-CN"/>
        </w:rPr>
        <w:t>，即</w:t>
      </w:r>
      <w:r>
        <w:rPr>
          <w:rFonts w:hint="eastAsia" w:ascii="Times New Roman" w:hAnsi="Times New Roman" w:eastAsia="方正仿宋_GBK" w:cs="Times New Roman"/>
          <w:sz w:val="32"/>
          <w:szCs w:val="32"/>
          <w:lang w:val="en-US" w:eastAsia="zh-CN"/>
        </w:rPr>
        <w:t>综合科、党群科、路政监督科、运政监督科、公交出租监督科、驾培维修监督科、港航海事科、工程质量监督科、安全环保科、信访投诉科、案件审理室、执法监督室、交通执法一、二、三、四、五、六、七、八、九大队、港航海事一、二大队、工程质量监督大队。</w:t>
      </w:r>
    </w:p>
    <w:p w14:paraId="30BF7719">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firstLine="640" w:firstLineChars="20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部门决算情况</w:t>
      </w:r>
    </w:p>
    <w:p w14:paraId="5F45EF64">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部门收支总体情况</w:t>
      </w:r>
    </w:p>
    <w:p w14:paraId="326D0266">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收入支出总体情况。</w:t>
      </w:r>
      <w:r>
        <w:rPr>
          <w:rFonts w:hint="eastAsia" w:ascii="宋体" w:hAnsi="宋体" w:eastAsia="方正仿宋_GBK" w:cs="方正仿宋_GBK"/>
          <w:b w:val="0"/>
          <w:bCs w:val="0"/>
          <w:sz w:val="32"/>
          <w:szCs w:val="32"/>
          <w:lang w:val="en-US" w:eastAsia="zh-CN"/>
        </w:rPr>
        <w:t>2024年度收入总计3998.5万元，支出总计3998.5万元。收支较上年减少315.88万元，下降7.32%，主要原因为项目支出较上年减少。</w:t>
      </w:r>
    </w:p>
    <w:p w14:paraId="02B2434C">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收入情况。</w:t>
      </w:r>
      <w:r>
        <w:rPr>
          <w:rFonts w:hint="eastAsia" w:ascii="宋体" w:hAnsi="宋体" w:eastAsia="方正仿宋_GBK" w:cs="方正仿宋_GBK"/>
          <w:b w:val="0"/>
          <w:bCs w:val="0"/>
          <w:sz w:val="32"/>
          <w:szCs w:val="32"/>
          <w:lang w:val="en-US" w:eastAsia="zh-CN"/>
        </w:rPr>
        <w:t>2024年度本年收入合计3998.5万元，较上年减少315.88万元，下降7.32%，主要原因为项目支出较上年减少。其中：财政拨款收入3998.5万元，占比100%；事业收入0万元，占比0%；其他收入0万元，占比0%。</w:t>
      </w:r>
      <w:r>
        <w:rPr>
          <w:rFonts w:ascii="方正仿宋_GBK" w:hAnsi="方正仿宋_GBK" w:eastAsia="方正仿宋_GBK" w:cs="方正仿宋_GBK"/>
          <w:sz w:val="32"/>
          <w:szCs w:val="32"/>
          <w:shd w:val="clear" w:color="auto" w:fill="FFFFFF"/>
        </w:rPr>
        <w:t>此外，使用非财政拨款结余和专用结余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万元，年初结转和结余</w:t>
      </w:r>
      <w:r>
        <w:rPr>
          <w:rFonts w:hint="eastAsia" w:ascii="方正仿宋_GBK" w:hAnsi="方正仿宋_GBK" w:eastAsia="方正仿宋_GBK" w:cs="方正仿宋_GBK"/>
          <w:sz w:val="32"/>
          <w:szCs w:val="32"/>
          <w:shd w:val="clear" w:color="auto" w:fill="FFFFFF"/>
          <w:lang w:val="en-US" w:eastAsia="zh-CN"/>
        </w:rPr>
        <w:t>0</w:t>
      </w:r>
      <w:r>
        <w:rPr>
          <w:rFonts w:ascii="方正仿宋_GBK" w:hAnsi="方正仿宋_GBK" w:eastAsia="方正仿宋_GBK" w:cs="方正仿宋_GBK"/>
          <w:sz w:val="32"/>
          <w:szCs w:val="32"/>
          <w:shd w:val="clear" w:color="auto" w:fill="FFFFFF"/>
        </w:rPr>
        <w:t>万元。</w:t>
      </w:r>
    </w:p>
    <w:p w14:paraId="6A1212C8">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支出情况。</w:t>
      </w:r>
      <w:r>
        <w:rPr>
          <w:rFonts w:hint="eastAsia" w:ascii="宋体" w:hAnsi="宋体" w:eastAsia="方正仿宋_GBK" w:cs="方正仿宋_GBK"/>
          <w:b w:val="0"/>
          <w:bCs w:val="0"/>
          <w:sz w:val="32"/>
          <w:szCs w:val="32"/>
          <w:lang w:val="en-US" w:eastAsia="zh-CN"/>
        </w:rPr>
        <w:t>2024年度本年支出合计3998.5万元，</w:t>
      </w:r>
      <w:r>
        <w:rPr>
          <w:rFonts w:hint="eastAsia" w:ascii="宋体" w:hAnsi="宋体" w:eastAsia="方正仿宋_GBK" w:cs="方正仿宋_GBK"/>
          <w:sz w:val="32"/>
        </w:rPr>
        <w:t>较</w:t>
      </w:r>
      <w:r>
        <w:rPr>
          <w:rFonts w:hint="eastAsia" w:ascii="宋体" w:hAnsi="宋体" w:eastAsia="方正仿宋_GBK" w:cs="方正仿宋_GBK"/>
          <w:sz w:val="32"/>
          <w:lang w:val="en-US" w:eastAsia="zh-CN"/>
        </w:rPr>
        <w:t>上年</w:t>
      </w:r>
      <w:r>
        <w:rPr>
          <w:rFonts w:hint="eastAsia" w:ascii="宋体" w:hAnsi="宋体" w:eastAsia="方正仿宋_GBK" w:cs="方正仿宋_GBK"/>
          <w:sz w:val="32"/>
          <w:lang w:eastAsia="zh-CN"/>
        </w:rPr>
        <w:t>减少</w:t>
      </w:r>
      <w:r>
        <w:rPr>
          <w:rFonts w:hint="eastAsia" w:ascii="宋体" w:hAnsi="宋体" w:eastAsia="方正仿宋_GBK" w:cs="方正仿宋_GBK"/>
          <w:sz w:val="32"/>
          <w:lang w:val="en-US" w:eastAsia="zh-CN"/>
        </w:rPr>
        <w:t>315.88</w:t>
      </w:r>
      <w:r>
        <w:rPr>
          <w:rFonts w:hint="eastAsia" w:ascii="宋体" w:hAnsi="宋体" w:eastAsia="方正仿宋_GBK" w:cs="方正仿宋_GBK"/>
          <w:sz w:val="32"/>
        </w:rPr>
        <w:t>万元，</w:t>
      </w:r>
      <w:r>
        <w:rPr>
          <w:rFonts w:hint="eastAsia" w:ascii="宋体" w:hAnsi="宋体" w:eastAsia="方正仿宋_GBK" w:cs="方正仿宋_GBK"/>
          <w:b w:val="0"/>
          <w:bCs w:val="0"/>
          <w:sz w:val="32"/>
          <w:szCs w:val="32"/>
          <w:lang w:val="en-US" w:eastAsia="zh-CN"/>
        </w:rPr>
        <w:t>下降7.32%，</w:t>
      </w:r>
      <w:r>
        <w:rPr>
          <w:rFonts w:hint="eastAsia" w:ascii="宋体" w:hAnsi="宋体" w:eastAsia="方正仿宋_GBK" w:cs="方正仿宋_GBK"/>
          <w:sz w:val="32"/>
        </w:rPr>
        <w:t>主要</w:t>
      </w:r>
      <w:r>
        <w:rPr>
          <w:rFonts w:hint="eastAsia" w:ascii="宋体" w:hAnsi="宋体" w:eastAsia="方正仿宋_GBK" w:cs="方正仿宋_GBK"/>
          <w:sz w:val="32"/>
          <w:lang w:val="en-US" w:eastAsia="zh-CN"/>
        </w:rPr>
        <w:t>原因为项目支出较上年减少。</w:t>
      </w:r>
      <w:r>
        <w:rPr>
          <w:rFonts w:hint="eastAsia" w:ascii="宋体" w:hAnsi="宋体" w:eastAsia="方正仿宋_GBK" w:cs="方正仿宋_GBK"/>
          <w:b w:val="0"/>
          <w:bCs w:val="0"/>
          <w:sz w:val="32"/>
          <w:szCs w:val="32"/>
          <w:lang w:val="en-US" w:eastAsia="zh-CN"/>
        </w:rPr>
        <w:t>其中：基本支出3504.39万元，占比87.64%；项目支出494.11万元，占比12.36%。</w:t>
      </w:r>
    </w:p>
    <w:p w14:paraId="77ECDAC7">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kern w:val="0"/>
          <w:sz w:val="32"/>
          <w:szCs w:val="32"/>
          <w:lang w:val="en-US" w:eastAsia="zh-CN"/>
        </w:rPr>
      </w:pPr>
      <w:r>
        <w:rPr>
          <w:rFonts w:hint="eastAsia" w:ascii="宋体" w:hAnsi="宋体" w:eastAsia="方正仿宋_GBK" w:cs="方正仿宋_GBK"/>
          <w:b/>
          <w:bCs/>
          <w:sz w:val="32"/>
          <w:szCs w:val="32"/>
          <w:lang w:val="en-US" w:eastAsia="zh-CN"/>
        </w:rPr>
        <w:t>结转结余情况。</w:t>
      </w:r>
      <w:r>
        <w:rPr>
          <w:rFonts w:hint="eastAsia" w:ascii="宋体" w:hAnsi="宋体" w:eastAsia="方正仿宋_GBK" w:cs="方正仿宋_GBK"/>
          <w:b w:val="0"/>
          <w:bCs w:val="0"/>
          <w:sz w:val="32"/>
          <w:szCs w:val="32"/>
          <w:lang w:val="en-US" w:eastAsia="zh-CN"/>
        </w:rPr>
        <w:t>2024年度年末结转和结余0万元，</w:t>
      </w:r>
      <w:r>
        <w:rPr>
          <w:rFonts w:ascii="方正仿宋_GBK" w:hAnsi="方正仿宋_GBK" w:eastAsia="方正仿宋_GBK" w:cs="方正仿宋_GBK"/>
          <w:sz w:val="32"/>
          <w:szCs w:val="32"/>
          <w:shd w:val="clear" w:color="auto" w:fill="FFFFFF"/>
        </w:rPr>
        <w:t>与2023年度相比</w:t>
      </w:r>
      <w:r>
        <w:rPr>
          <w:rFonts w:hint="eastAsia" w:ascii="方正仿宋_GBK" w:hAnsi="方正仿宋_GBK" w:eastAsia="方正仿宋_GBK" w:cs="方正仿宋_GBK"/>
          <w:sz w:val="32"/>
          <w:szCs w:val="32"/>
          <w:shd w:val="clear" w:color="auto" w:fill="FFFFFF"/>
          <w:lang w:val="en-US" w:eastAsia="zh-CN"/>
        </w:rPr>
        <w:t>无变化</w:t>
      </w:r>
      <w:r>
        <w:rPr>
          <w:rFonts w:hint="eastAsia" w:ascii="宋体" w:hAnsi="宋体" w:eastAsia="方正仿宋_GBK" w:cs="方正仿宋_GBK"/>
          <w:kern w:val="0"/>
          <w:sz w:val="32"/>
          <w:szCs w:val="32"/>
          <w:lang w:val="en-US" w:eastAsia="zh-CN"/>
        </w:rPr>
        <w:t>。</w:t>
      </w:r>
    </w:p>
    <w:p w14:paraId="5318B132">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财政拨款收支总体情况</w:t>
      </w:r>
    </w:p>
    <w:p w14:paraId="12744192">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lang w:val="en-US" w:eastAsia="zh-CN"/>
        </w:rPr>
      </w:pPr>
      <w:r>
        <w:rPr>
          <w:rFonts w:hint="eastAsia" w:ascii="宋体" w:hAnsi="宋体" w:eastAsia="方正仿宋_GBK" w:cs="方正仿宋_GBK"/>
          <w:sz w:val="32"/>
          <w:lang w:val="en-US" w:eastAsia="zh-CN"/>
        </w:rPr>
        <w:t>2024年度财政拨款收入总计3998.5万元，支出总计3998.5万元。</w:t>
      </w:r>
      <w:r>
        <w:rPr>
          <w:rFonts w:hint="eastAsia" w:ascii="宋体" w:hAnsi="宋体" w:eastAsia="方正仿宋_GBK" w:cs="方正仿宋_GBK"/>
          <w:sz w:val="32"/>
        </w:rPr>
        <w:t>收支较上年</w:t>
      </w:r>
      <w:r>
        <w:rPr>
          <w:rFonts w:hint="eastAsia" w:ascii="宋体" w:hAnsi="宋体" w:eastAsia="方正仿宋_GBK" w:cs="方正仿宋_GBK"/>
          <w:b w:val="0"/>
          <w:bCs w:val="0"/>
          <w:sz w:val="32"/>
          <w:szCs w:val="32"/>
          <w:lang w:val="en-US" w:eastAsia="zh-CN"/>
        </w:rPr>
        <w:t>减少315.88万元，下降7.32%，主要原因为项目支出减少</w:t>
      </w:r>
      <w:r>
        <w:rPr>
          <w:rFonts w:hint="eastAsia" w:ascii="宋体" w:hAnsi="宋体" w:eastAsia="方正仿宋_GBK" w:cs="方正仿宋_GBK"/>
          <w:sz w:val="32"/>
          <w:lang w:val="en-US" w:eastAsia="zh-CN"/>
        </w:rPr>
        <w:t>。</w:t>
      </w:r>
    </w:p>
    <w:p w14:paraId="6DADF6E9">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一般公共预算财政拨款收支总体情况</w:t>
      </w:r>
    </w:p>
    <w:p w14:paraId="635EA5D1">
      <w:pPr>
        <w:keepNext w:val="0"/>
        <w:keepLines w:val="0"/>
        <w:pageBreakBefore w:val="0"/>
        <w:numPr>
          <w:ilvl w:val="0"/>
          <w:numId w:val="5"/>
        </w:numPr>
        <w:kinsoku/>
        <w:wordWrap/>
        <w:overflowPunct/>
        <w:topLinePunct w:val="0"/>
        <w:autoSpaceDN/>
        <w:bidi w:val="0"/>
        <w:snapToGrid/>
        <w:spacing w:line="579" w:lineRule="exact"/>
        <w:ind w:firstLine="643"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sz w:val="32"/>
          <w:lang w:val="en-US" w:eastAsia="zh-CN"/>
        </w:rPr>
        <w:t>收入情况。</w:t>
      </w:r>
      <w:r>
        <w:rPr>
          <w:rFonts w:hint="eastAsia" w:ascii="宋体" w:hAnsi="宋体" w:eastAsia="方正仿宋_GBK" w:cs="方正仿宋_GBK"/>
          <w:color w:val="auto"/>
          <w:sz w:val="32"/>
        </w:rPr>
        <w:t>202</w:t>
      </w:r>
      <w:r>
        <w:rPr>
          <w:rFonts w:hint="eastAsia" w:ascii="宋体" w:hAnsi="宋体" w:eastAsia="方正仿宋_GBK" w:cs="方正仿宋_GBK"/>
          <w:color w:val="auto"/>
          <w:sz w:val="32"/>
          <w:lang w:val="en-US" w:eastAsia="zh-CN"/>
        </w:rPr>
        <w:t>4</w:t>
      </w:r>
      <w:r>
        <w:rPr>
          <w:rFonts w:hint="eastAsia" w:ascii="宋体" w:hAnsi="宋体" w:eastAsia="方正仿宋_GBK" w:cs="方正仿宋_GBK"/>
          <w:color w:val="auto"/>
          <w:sz w:val="32"/>
        </w:rPr>
        <w:t>年度一般公共预算财政拨款收入</w:t>
      </w:r>
      <w:r>
        <w:rPr>
          <w:rFonts w:hint="eastAsia" w:ascii="宋体" w:hAnsi="宋体" w:eastAsia="方正仿宋_GBK" w:cs="方正仿宋_GBK"/>
          <w:color w:val="auto"/>
          <w:sz w:val="32"/>
          <w:lang w:val="en-US" w:eastAsia="zh-CN"/>
        </w:rPr>
        <w:t>3998.5</w:t>
      </w:r>
      <w:r>
        <w:rPr>
          <w:rFonts w:hint="eastAsia" w:ascii="宋体" w:hAnsi="宋体" w:eastAsia="方正仿宋_GBK" w:cs="方正仿宋_GBK"/>
          <w:color w:val="auto"/>
          <w:sz w:val="32"/>
        </w:rPr>
        <w:t>万元，较上年</w:t>
      </w:r>
      <w:r>
        <w:rPr>
          <w:rFonts w:hint="eastAsia" w:ascii="宋体" w:hAnsi="宋体" w:eastAsia="方正仿宋_GBK" w:cs="方正仿宋_GBK"/>
          <w:color w:val="auto"/>
          <w:sz w:val="32"/>
          <w:lang w:val="en-US" w:eastAsia="zh-CN"/>
        </w:rPr>
        <w:t>决算数</w:t>
      </w:r>
      <w:r>
        <w:rPr>
          <w:rFonts w:hint="eastAsia" w:ascii="宋体" w:hAnsi="宋体" w:eastAsia="方正仿宋_GBK" w:cs="方正仿宋_GBK"/>
          <w:b w:val="0"/>
          <w:bCs w:val="0"/>
          <w:sz w:val="32"/>
          <w:szCs w:val="32"/>
          <w:lang w:val="en-US" w:eastAsia="zh-CN"/>
        </w:rPr>
        <w:t>减少315.88万元，下降7.32%，主要原因为项目支出较上年减少</w:t>
      </w:r>
      <w:r>
        <w:rPr>
          <w:rFonts w:hint="eastAsia" w:ascii="宋体" w:hAnsi="宋体" w:eastAsia="方正仿宋_GBK" w:cs="方正仿宋_GBK"/>
          <w:color w:val="auto"/>
          <w:sz w:val="32"/>
          <w:lang w:val="en-US" w:eastAsia="zh-CN"/>
        </w:rPr>
        <w:t>。较年初预算数增加37.6万元，增长0.95%，主要原因是项目支出较年初增加。</w:t>
      </w:r>
      <w:r>
        <w:rPr>
          <w:rFonts w:ascii="方正仿宋_GBK" w:hAnsi="方正仿宋_GBK" w:eastAsia="方正仿宋_GBK" w:cs="方正仿宋_GBK"/>
          <w:sz w:val="32"/>
          <w:szCs w:val="32"/>
          <w:shd w:val="clear" w:color="auto" w:fill="FFFFFF"/>
        </w:rPr>
        <w:t>此外，年初财政拨款结转和结余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w:t>
      </w:r>
    </w:p>
    <w:p w14:paraId="15895340">
      <w:pPr>
        <w:keepNext w:val="0"/>
        <w:keepLines w:val="0"/>
        <w:pageBreakBefore w:val="0"/>
        <w:numPr>
          <w:ilvl w:val="0"/>
          <w:numId w:val="5"/>
        </w:numPr>
        <w:kinsoku/>
        <w:wordWrap/>
        <w:overflowPunct/>
        <w:topLinePunct w:val="0"/>
        <w:autoSpaceDN/>
        <w:bidi w:val="0"/>
        <w:snapToGrid/>
        <w:spacing w:line="579" w:lineRule="exact"/>
        <w:ind w:firstLine="643"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sz w:val="32"/>
          <w:lang w:val="en-US" w:eastAsia="zh-CN"/>
        </w:rPr>
        <w:t>支出情况。</w:t>
      </w:r>
      <w:r>
        <w:rPr>
          <w:rFonts w:hint="eastAsia" w:ascii="宋体" w:hAnsi="宋体" w:eastAsia="方正仿宋_GBK" w:cs="方正仿宋_GBK"/>
          <w:color w:val="auto"/>
          <w:sz w:val="32"/>
          <w:lang w:val="en-US" w:eastAsia="zh-CN"/>
        </w:rPr>
        <w:t>2024年度一般公共预算财政拨款支出3998.5万元，</w:t>
      </w:r>
      <w:r>
        <w:rPr>
          <w:rFonts w:hint="eastAsia" w:ascii="宋体" w:hAnsi="宋体" w:eastAsia="方正仿宋_GBK" w:cs="方正仿宋_GBK"/>
          <w:color w:val="auto"/>
          <w:sz w:val="32"/>
        </w:rPr>
        <w:t>较上年决算数</w:t>
      </w:r>
      <w:r>
        <w:rPr>
          <w:rFonts w:hint="eastAsia" w:ascii="宋体" w:hAnsi="宋体" w:eastAsia="方正仿宋_GBK" w:cs="方正仿宋_GBK"/>
          <w:b w:val="0"/>
          <w:bCs w:val="0"/>
          <w:sz w:val="32"/>
          <w:szCs w:val="32"/>
          <w:lang w:val="en-US" w:eastAsia="zh-CN"/>
        </w:rPr>
        <w:t>减少315.88万元，下降7.32%，主要原因为项目支出较上年减少</w:t>
      </w:r>
      <w:r>
        <w:rPr>
          <w:rFonts w:hint="eastAsia" w:ascii="宋体" w:hAnsi="宋体" w:eastAsia="方正仿宋_GBK" w:cs="方正仿宋_GBK"/>
          <w:color w:val="auto"/>
          <w:sz w:val="32"/>
          <w:lang w:val="en-US" w:eastAsia="zh-CN"/>
        </w:rPr>
        <w:t>。较年初预算数增加37.6万元，增长0.95%，主要原因是项目支出较年初增加。</w:t>
      </w:r>
    </w:p>
    <w:p w14:paraId="145F7407">
      <w:pPr>
        <w:keepNext w:val="0"/>
        <w:keepLines w:val="0"/>
        <w:pageBreakBefore w:val="0"/>
        <w:numPr>
          <w:ilvl w:val="0"/>
          <w:numId w:val="5"/>
        </w:numPr>
        <w:kinsoku/>
        <w:wordWrap/>
        <w:overflowPunct/>
        <w:topLinePunct w:val="0"/>
        <w:autoSpaceDN/>
        <w:bidi w:val="0"/>
        <w:snapToGrid/>
        <w:spacing w:line="579" w:lineRule="exact"/>
        <w:ind w:firstLine="643"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color w:val="auto"/>
          <w:sz w:val="32"/>
          <w:lang w:val="en-US" w:eastAsia="zh-CN"/>
        </w:rPr>
        <w:t>结转结余情况。</w:t>
      </w:r>
      <w:r>
        <w:rPr>
          <w:rFonts w:hint="eastAsia" w:ascii="方正仿宋_GBK" w:hAnsi="方正仿宋_GBK" w:eastAsia="方正仿宋_GBK" w:cs="方正仿宋_GBK"/>
          <w:sz w:val="32"/>
          <w:szCs w:val="32"/>
          <w:shd w:val="clear" w:color="auto" w:fill="FFFFFF"/>
          <w:lang w:eastAsia="zh-CN"/>
        </w:rPr>
        <w:t>2024年</w:t>
      </w:r>
      <w:r>
        <w:rPr>
          <w:rFonts w:ascii="方正仿宋_GBK" w:hAnsi="方正仿宋_GBK" w:eastAsia="方正仿宋_GBK" w:cs="方正仿宋_GBK"/>
          <w:sz w:val="32"/>
          <w:szCs w:val="32"/>
          <w:shd w:val="clear" w:color="auto" w:fill="FFFFFF"/>
        </w:rPr>
        <w:t>度年末一般公共预算财政拨款结转和结余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lang w:val="en-US" w:eastAsia="zh-CN"/>
        </w:rPr>
        <w:t>无变化。</w:t>
      </w:r>
    </w:p>
    <w:p w14:paraId="6C64A14A">
      <w:pPr>
        <w:pStyle w:val="5"/>
        <w:keepNext w:val="0"/>
        <w:keepLines w:val="0"/>
        <w:pageBreakBefore w:val="0"/>
        <w:widowControl/>
        <w:numPr>
          <w:ilvl w:val="0"/>
          <w:numId w:val="5"/>
        </w:numPr>
        <w:suppressLineNumbers w:val="0"/>
        <w:kinsoku/>
        <w:wordWrap/>
        <w:overflowPunct/>
        <w:topLinePunct w:val="0"/>
        <w:autoSpaceDE/>
        <w:autoSpaceDN/>
        <w:bidi w:val="0"/>
        <w:adjustRightInd/>
        <w:snapToGrid/>
        <w:spacing w:before="0" w:beforeAutospacing="0" w:after="0" w:afterAutospacing="0" w:line="579" w:lineRule="exact"/>
        <w:ind w:left="0" w:leftChars="0" w:firstLine="643"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b/>
          <w:bCs/>
          <w:kern w:val="2"/>
          <w:sz w:val="32"/>
          <w:szCs w:val="22"/>
          <w:lang w:val="en-US" w:eastAsia="zh-CN" w:bidi="ar-SA"/>
        </w:rPr>
        <w:t>比较情况。</w:t>
      </w:r>
      <w:r>
        <w:rPr>
          <w:rFonts w:hint="eastAsia" w:ascii="宋体" w:hAnsi="宋体" w:eastAsia="方正仿宋_GBK" w:cs="方正仿宋_GBK"/>
          <w:color w:val="auto"/>
          <w:sz w:val="32"/>
          <w:lang w:val="en-US" w:eastAsia="zh-CN"/>
        </w:rPr>
        <w:t>本部门2024年度一般公共预算财政拨款支出主要用于以下几个方面：</w:t>
      </w:r>
    </w:p>
    <w:p w14:paraId="70FAC5ED">
      <w:pPr>
        <w:pStyle w:val="5"/>
        <w:keepNext w:val="0"/>
        <w:keepLines w:val="0"/>
        <w:pageBreakBefore w:val="0"/>
        <w:widowControl/>
        <w:numPr>
          <w:ilvl w:val="0"/>
          <w:numId w:val="6"/>
        </w:numPr>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教育支出6.08万元，占比0.15%，较年初预算数减少9.76万元，下降61.62%，主要原因是培训支出减少。</w:t>
      </w:r>
    </w:p>
    <w:p w14:paraId="1F66987E">
      <w:pPr>
        <w:pStyle w:val="5"/>
        <w:keepNext w:val="0"/>
        <w:keepLines w:val="0"/>
        <w:pageBreakBefore w:val="0"/>
        <w:widowControl/>
        <w:numPr>
          <w:ilvl w:val="0"/>
          <w:numId w:val="6"/>
        </w:numPr>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社会保障与就业支出549.43万元，占比13.74%，较年初预算数增加29.2万元，增长5.61%，主要原因是年中追加死亡抚恤金。</w:t>
      </w:r>
    </w:p>
    <w:p w14:paraId="4884A6D5">
      <w:pPr>
        <w:pStyle w:val="5"/>
        <w:keepNext w:val="0"/>
        <w:keepLines w:val="0"/>
        <w:pageBreakBefore w:val="0"/>
        <w:widowControl/>
        <w:numPr>
          <w:ilvl w:val="0"/>
          <w:numId w:val="6"/>
        </w:numPr>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卫生健康支出214.21万元，占比5.36%，较年初预算数减少5.36万元，下降2.44%，主要原因是退休人员增加，医疗保险费用减少。</w:t>
      </w:r>
    </w:p>
    <w:p w14:paraId="266133C8">
      <w:pPr>
        <w:pStyle w:val="5"/>
        <w:keepNext w:val="0"/>
        <w:keepLines w:val="0"/>
        <w:pageBreakBefore w:val="0"/>
        <w:widowControl/>
        <w:numPr>
          <w:ilvl w:val="0"/>
          <w:numId w:val="6"/>
        </w:numPr>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default" w:ascii="Times New Roman" w:hAnsi="Times New Roman" w:eastAsia="方正仿宋_GBK" w:cs="Times New Roman"/>
          <w:color w:val="auto"/>
          <w:sz w:val="32"/>
          <w:szCs w:val="32"/>
          <w:lang w:eastAsia="zh-CN"/>
        </w:rPr>
      </w:pPr>
      <w:r>
        <w:rPr>
          <w:rFonts w:hint="eastAsia" w:ascii="宋体" w:hAnsi="宋体" w:eastAsia="方正仿宋_GBK" w:cs="方正仿宋_GBK"/>
          <w:color w:val="auto"/>
          <w:sz w:val="32"/>
          <w:lang w:val="en-US" w:eastAsia="zh-CN"/>
        </w:rPr>
        <w:t>交通运输支出3013.67万元，占比75.37%，较年初预算数增加31.17万元，增加1.03%，主要原因是人员经费增加。</w:t>
      </w:r>
    </w:p>
    <w:p w14:paraId="63F3137D">
      <w:pPr>
        <w:pStyle w:val="5"/>
        <w:keepNext w:val="0"/>
        <w:keepLines w:val="0"/>
        <w:pageBreakBefore w:val="0"/>
        <w:widowControl/>
        <w:numPr>
          <w:ilvl w:val="0"/>
          <w:numId w:val="6"/>
        </w:numPr>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default" w:ascii="Times New Roman" w:hAnsi="Times New Roman" w:eastAsia="方正仿宋_GBK" w:cs="Times New Roman"/>
          <w:sz w:val="32"/>
          <w:szCs w:val="32"/>
          <w:lang w:eastAsia="zh-CN"/>
        </w:rPr>
        <w:t>住房保障支出</w:t>
      </w:r>
      <w:r>
        <w:rPr>
          <w:rFonts w:hint="eastAsia" w:ascii="宋体" w:hAnsi="宋体" w:eastAsia="方正仿宋_GBK" w:cs="方正仿宋_GBK"/>
          <w:color w:val="auto"/>
          <w:sz w:val="32"/>
          <w:lang w:val="en-US" w:eastAsia="zh-CN"/>
        </w:rPr>
        <w:t>215.1</w:t>
      </w:r>
      <w:r>
        <w:rPr>
          <w:rFonts w:hint="default" w:ascii="Times New Roman" w:hAnsi="Times New Roman" w:eastAsia="方正仿宋_GBK" w:cs="Times New Roman"/>
          <w:sz w:val="32"/>
          <w:szCs w:val="32"/>
          <w:lang w:eastAsia="zh-CN"/>
        </w:rPr>
        <w:t>万元，</w:t>
      </w:r>
      <w:r>
        <w:rPr>
          <w:rFonts w:hint="eastAsia" w:eastAsia="方正仿宋_GBK" w:cs="Times New Roman"/>
          <w:sz w:val="32"/>
          <w:szCs w:val="32"/>
          <w:lang w:eastAsia="zh-CN"/>
        </w:rPr>
        <w:t>占比</w:t>
      </w:r>
      <w:r>
        <w:rPr>
          <w:rFonts w:hint="eastAsia" w:ascii="宋体" w:hAnsi="宋体" w:eastAsia="方正仿宋_GBK" w:cs="方正仿宋_GBK"/>
          <w:color w:val="auto"/>
          <w:sz w:val="32"/>
          <w:lang w:val="en-US" w:eastAsia="zh-CN"/>
        </w:rPr>
        <w:t>5.38</w:t>
      </w:r>
      <w:r>
        <w:rPr>
          <w:rFonts w:hint="default" w:ascii="宋体" w:hAnsi="宋体" w:eastAsia="方正仿宋_GBK" w:cs="方正仿宋_GBK"/>
          <w:color w:val="auto"/>
          <w:sz w:val="32"/>
          <w:lang w:val="en-US" w:eastAsia="zh-CN"/>
        </w:rPr>
        <w:t>%，</w:t>
      </w:r>
      <w:r>
        <w:rPr>
          <w:rFonts w:hint="default" w:ascii="Times New Roman" w:hAnsi="Times New Roman" w:eastAsia="方正仿宋_GBK" w:cs="Times New Roman"/>
          <w:sz w:val="32"/>
          <w:szCs w:val="32"/>
          <w:lang w:eastAsia="zh-CN"/>
        </w:rPr>
        <w:t>较年初预算数</w:t>
      </w:r>
      <w:r>
        <w:rPr>
          <w:rFonts w:hint="eastAsia" w:ascii="Times New Roman" w:hAnsi="Times New Roman" w:eastAsia="方正仿宋_GBK" w:cs="Times New Roman"/>
          <w:sz w:val="32"/>
          <w:szCs w:val="32"/>
          <w:lang w:eastAsia="zh-CN"/>
        </w:rPr>
        <w:t>减少</w:t>
      </w:r>
      <w:r>
        <w:rPr>
          <w:rFonts w:hint="eastAsia" w:ascii="宋体" w:hAnsi="宋体" w:eastAsia="方正仿宋_GBK" w:cs="方正仿宋_GBK"/>
          <w:color w:val="auto"/>
          <w:sz w:val="32"/>
          <w:lang w:val="en-US" w:eastAsia="zh-CN"/>
        </w:rPr>
        <w:t>7.67</w:t>
      </w:r>
      <w:r>
        <w:rPr>
          <w:rFonts w:hint="default" w:ascii="Times New Roman" w:hAnsi="Times New Roman" w:eastAsia="方正仿宋_GBK" w:cs="Times New Roman"/>
          <w:sz w:val="32"/>
          <w:szCs w:val="32"/>
          <w:lang w:eastAsia="zh-CN"/>
        </w:rPr>
        <w:t>万元，</w:t>
      </w:r>
      <w:r>
        <w:rPr>
          <w:rFonts w:hint="eastAsia" w:ascii="Times New Roman" w:hAnsi="Times New Roman" w:eastAsia="方正仿宋_GBK" w:cs="Times New Roman"/>
          <w:sz w:val="32"/>
          <w:szCs w:val="32"/>
          <w:lang w:eastAsia="zh-CN"/>
        </w:rPr>
        <w:t>下降</w:t>
      </w:r>
      <w:r>
        <w:rPr>
          <w:rFonts w:hint="eastAsia" w:ascii="宋体" w:hAnsi="宋体" w:eastAsia="方正仿宋_GBK" w:cs="方正仿宋_GBK"/>
          <w:color w:val="auto"/>
          <w:sz w:val="32"/>
          <w:lang w:val="en-US" w:eastAsia="zh-CN"/>
        </w:rPr>
        <w:t>3.44</w:t>
      </w:r>
      <w:r>
        <w:rPr>
          <w:rFonts w:hint="default" w:ascii="宋体" w:hAnsi="宋体" w:eastAsia="方正仿宋_GBK" w:cs="方正仿宋_GBK"/>
          <w:color w:val="auto"/>
          <w:sz w:val="32"/>
          <w:lang w:val="en-US" w:eastAsia="zh-CN"/>
        </w:rPr>
        <w:t>%</w:t>
      </w:r>
      <w:r>
        <w:rPr>
          <w:rFonts w:hint="default" w:ascii="Times New Roman" w:hAnsi="Times New Roman" w:eastAsia="方正仿宋_GBK" w:cs="Times New Roman"/>
          <w:sz w:val="32"/>
          <w:szCs w:val="32"/>
          <w:lang w:eastAsia="zh-CN"/>
        </w:rPr>
        <w:t>，主要原因是</w:t>
      </w:r>
      <w:r>
        <w:rPr>
          <w:rFonts w:hint="eastAsia" w:ascii="Times New Roman" w:hAnsi="Times New Roman" w:eastAsia="方正仿宋_GBK" w:cs="Times New Roman"/>
          <w:sz w:val="32"/>
          <w:szCs w:val="32"/>
          <w:lang w:eastAsia="zh-CN"/>
        </w:rPr>
        <w:t>退休人员</w:t>
      </w:r>
      <w:r>
        <w:rPr>
          <w:rFonts w:hint="eastAsia" w:ascii="Times New Roman" w:hAnsi="Times New Roman" w:eastAsia="方正仿宋_GBK" w:cs="Times New Roman"/>
          <w:color w:val="auto"/>
          <w:sz w:val="32"/>
          <w:szCs w:val="32"/>
          <w:lang w:eastAsia="zh-CN"/>
        </w:rPr>
        <w:t>增加</w:t>
      </w:r>
      <w:r>
        <w:rPr>
          <w:rFonts w:hint="eastAsia" w:eastAsia="方正仿宋_GBK" w:cs="Times New Roman"/>
          <w:color w:val="auto"/>
          <w:sz w:val="32"/>
          <w:szCs w:val="32"/>
          <w:lang w:eastAsia="zh-CN"/>
        </w:rPr>
        <w:t>，住房公积金费用减少</w:t>
      </w:r>
      <w:r>
        <w:rPr>
          <w:rFonts w:hint="default" w:ascii="Times New Roman" w:hAnsi="Times New Roman" w:eastAsia="方正仿宋_GBK" w:cs="Times New Roman"/>
          <w:color w:val="auto"/>
          <w:sz w:val="32"/>
          <w:szCs w:val="32"/>
          <w:lang w:eastAsia="zh-CN"/>
        </w:rPr>
        <w:t>。</w:t>
      </w:r>
    </w:p>
    <w:p w14:paraId="4236B92E">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Style w:val="14"/>
          <w:rFonts w:hint="eastAsia" w:ascii="宋体" w:hAnsi="宋体" w:eastAsia="方正楷体_GBK" w:cs="方正楷体_GBK"/>
          <w:b w:val="0"/>
          <w:bCs/>
          <w:kern w:val="2"/>
          <w:sz w:val="32"/>
          <w:szCs w:val="32"/>
          <w:shd w:val="clear" w:color="auto" w:fill="FFFFFF"/>
          <w:lang w:val="en-US" w:eastAsia="zh-CN" w:bidi="ar-SA"/>
        </w:rPr>
        <w:t>一般公共预算财政拨款基本支出情况</w:t>
      </w:r>
    </w:p>
    <w:p w14:paraId="5894E6FD">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2024年度一般公共预算财政拨款基本支出3504.39万元。其中：人员经费2880.47万元，主要用于</w:t>
      </w:r>
      <w:r>
        <w:rPr>
          <w:rFonts w:hint="eastAsia" w:eastAsia="方正仿宋_GBK" w:cs="Times New Roman"/>
          <w:sz w:val="32"/>
          <w:szCs w:val="32"/>
          <w:lang w:eastAsia="zh-CN"/>
        </w:rPr>
        <w:t>工资福利支出、对个人和家庭的补助</w:t>
      </w:r>
      <w:r>
        <w:rPr>
          <w:rFonts w:hint="default" w:ascii="Times New Roman" w:hAnsi="Times New Roman" w:eastAsia="方正仿宋_GBK" w:cs="Times New Roman"/>
          <w:sz w:val="32"/>
          <w:szCs w:val="32"/>
          <w:lang w:eastAsia="zh-CN"/>
        </w:rPr>
        <w:t>等</w:t>
      </w:r>
      <w:r>
        <w:rPr>
          <w:rFonts w:hint="eastAsia" w:ascii="宋体" w:hAnsi="宋体" w:eastAsia="方正仿宋_GBK" w:cs="方正仿宋_GBK"/>
          <w:color w:val="auto"/>
          <w:sz w:val="32"/>
          <w:lang w:val="en-US" w:eastAsia="zh-CN"/>
        </w:rPr>
        <w:t>，较上年决算数增加290.91万元，增长11.23%，主要原因是新进在编人员增加及工资薪酬调整导致工资福利支出增加。公用经费623.92万元，主要用于商品和服务支出、资本性支出等，较上年决算数减少6.43万元，减少1.02%，主要原因是持续落实党政机关过紧日子要求</w:t>
      </w:r>
      <w:r>
        <w:rPr>
          <w:rFonts w:hint="eastAsia" w:ascii="Times New Roman" w:hAnsi="Times New Roman" w:eastAsia="方正仿宋_GBK" w:cs="宋体"/>
          <w:kern w:val="0"/>
          <w:sz w:val="32"/>
          <w:szCs w:val="32"/>
        </w:rPr>
        <w:t>，从严从紧控制经费开支</w:t>
      </w:r>
      <w:r>
        <w:rPr>
          <w:rFonts w:hint="eastAsia" w:ascii="宋体" w:hAnsi="宋体" w:eastAsia="方正仿宋_GBK" w:cs="方正仿宋_GBK"/>
          <w:color w:val="auto"/>
          <w:sz w:val="32"/>
          <w:lang w:val="en-US" w:eastAsia="zh-CN"/>
        </w:rPr>
        <w:t>。</w:t>
      </w:r>
    </w:p>
    <w:p w14:paraId="61F0DF06">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（五）政府性基金预算收支决算情况</w:t>
      </w:r>
    </w:p>
    <w:p w14:paraId="1CF44A1E">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color w:val="auto"/>
          <w:sz w:val="32"/>
          <w:szCs w:val="32"/>
          <w:shd w:val="clear" w:color="auto" w:fill="FFFFFF"/>
        </w:rPr>
        <w:t>本单位</w:t>
      </w:r>
      <w:r>
        <w:rPr>
          <w:rFonts w:hint="eastAsia" w:ascii="方正仿宋_GBK" w:hAnsi="方正仿宋_GBK" w:eastAsia="方正仿宋_GBK" w:cs="方正仿宋_GBK"/>
          <w:color w:val="auto"/>
          <w:sz w:val="32"/>
          <w:szCs w:val="32"/>
          <w:shd w:val="clear" w:color="auto" w:fill="FFFFFF"/>
          <w:lang w:eastAsia="zh-CN"/>
        </w:rPr>
        <w:t>2024年</w:t>
      </w:r>
      <w:r>
        <w:rPr>
          <w:rFonts w:ascii="方正仿宋_GBK" w:hAnsi="方正仿宋_GBK" w:eastAsia="方正仿宋_GBK" w:cs="方正仿宋_GBK"/>
          <w:color w:val="auto"/>
          <w:sz w:val="32"/>
          <w:szCs w:val="32"/>
          <w:shd w:val="clear" w:color="auto" w:fill="FFFFFF"/>
        </w:rPr>
        <w:t>度无政府性基金预算财政拨款收支</w:t>
      </w:r>
      <w:r>
        <w:rPr>
          <w:rFonts w:hint="eastAsia" w:ascii="方正仿宋_GBK" w:hAnsi="方正仿宋_GBK" w:eastAsia="方正仿宋_GBK" w:cs="方正仿宋_GBK"/>
          <w:color w:val="auto"/>
          <w:sz w:val="32"/>
          <w:szCs w:val="32"/>
          <w:shd w:val="clear" w:color="auto" w:fill="FFFFFF"/>
          <w:lang w:eastAsia="zh-CN"/>
        </w:rPr>
        <w:t>。</w:t>
      </w:r>
    </w:p>
    <w:p w14:paraId="284C902A">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（六）国有资本经营预算财政拨款支出决算情况</w:t>
      </w:r>
    </w:p>
    <w:p w14:paraId="15FF9412">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ascii="方正仿宋_GBK" w:hAnsi="方正仿宋_GBK" w:eastAsia="方正仿宋_GBK" w:cs="方正仿宋_GBK"/>
          <w:color w:val="auto"/>
          <w:sz w:val="32"/>
          <w:szCs w:val="32"/>
          <w:shd w:val="clear" w:color="auto" w:fill="FFFFFF"/>
        </w:rPr>
        <w:t>本单位</w:t>
      </w:r>
      <w:r>
        <w:rPr>
          <w:rFonts w:hint="eastAsia" w:ascii="方正仿宋_GBK" w:hAnsi="方正仿宋_GBK" w:eastAsia="方正仿宋_GBK" w:cs="方正仿宋_GBK"/>
          <w:color w:val="auto"/>
          <w:sz w:val="32"/>
          <w:szCs w:val="32"/>
          <w:shd w:val="clear" w:color="auto" w:fill="FFFFFF"/>
          <w:lang w:eastAsia="zh-CN"/>
        </w:rPr>
        <w:t>2024年</w:t>
      </w:r>
      <w:r>
        <w:rPr>
          <w:rFonts w:ascii="方正仿宋_GBK" w:hAnsi="方正仿宋_GBK" w:eastAsia="方正仿宋_GBK" w:cs="方正仿宋_GBK"/>
          <w:color w:val="auto"/>
          <w:sz w:val="32"/>
          <w:szCs w:val="32"/>
          <w:shd w:val="clear" w:color="auto" w:fill="FFFFFF"/>
        </w:rPr>
        <w:t>度无国有资本经营预算财政拨款支出。</w:t>
      </w:r>
    </w:p>
    <w:p w14:paraId="325EC49D">
      <w:pPr>
        <w:pStyle w:val="10"/>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579" w:lineRule="exact"/>
        <w:ind w:right="0" w:rightChars="0" w:firstLine="640" w:firstLineChars="200"/>
        <w:jc w:val="left"/>
        <w:textAlignment w:val="auto"/>
        <w:outlineLvl w:val="0"/>
        <w:rPr>
          <w:rStyle w:val="14"/>
          <w:rFonts w:hint="eastAsia" w:ascii="宋体" w:hAnsi="宋体" w:eastAsia="方正黑体_GBK" w:cs="方正黑体_GBK"/>
          <w:b w:val="0"/>
          <w:sz w:val="32"/>
          <w:szCs w:val="32"/>
          <w:shd w:val="clear" w:color="auto" w:fill="FFFFFF"/>
        </w:rPr>
      </w:pPr>
      <w:r>
        <w:rPr>
          <w:rStyle w:val="14"/>
          <w:rFonts w:hint="eastAsia" w:ascii="宋体" w:hAnsi="宋体" w:eastAsia="方正黑体_GBK" w:cs="方正黑体_GBK"/>
          <w:b w:val="0"/>
          <w:sz w:val="32"/>
          <w:szCs w:val="32"/>
          <w:shd w:val="clear" w:color="auto" w:fill="FFFFFF"/>
          <w:lang w:val="en-US" w:eastAsia="zh-CN"/>
        </w:rPr>
        <w:t>三、</w:t>
      </w:r>
      <w:r>
        <w:rPr>
          <w:rStyle w:val="14"/>
          <w:rFonts w:hint="eastAsia" w:ascii="宋体" w:hAnsi="宋体" w:eastAsia="方正黑体_GBK" w:cs="方正黑体_GBK"/>
          <w:b w:val="0"/>
          <w:sz w:val="32"/>
          <w:szCs w:val="32"/>
          <w:shd w:val="clear" w:color="auto" w:fill="FFFFFF"/>
        </w:rPr>
        <w:t>“三公”经费情况</w:t>
      </w:r>
    </w:p>
    <w:p w14:paraId="375E0BC5">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（一）“三公”经费支出总体情况</w:t>
      </w:r>
    </w:p>
    <w:p w14:paraId="78B2D0DF">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2024年度“三公”经费支出共计49.56万元，较年初预算数减少4.94万元，下降9.06%，主要原因是</w:t>
      </w:r>
      <w:r>
        <w:rPr>
          <w:rFonts w:hint="eastAsia" w:ascii="Times New Roman" w:hAnsi="Times New Roman" w:eastAsia="方正仿宋_GBK" w:cs="Times New Roman"/>
          <w:sz w:val="32"/>
          <w:szCs w:val="32"/>
          <w:lang w:eastAsia="zh-CN"/>
        </w:rPr>
        <w:t>严格控制“三公”经费，全年实际支出较年初预算有所下降</w:t>
      </w:r>
      <w:r>
        <w:rPr>
          <w:rFonts w:hint="eastAsia" w:ascii="宋体" w:hAnsi="宋体" w:eastAsia="方正仿宋_GBK" w:cs="方正仿宋_GBK"/>
          <w:color w:val="auto"/>
          <w:sz w:val="32"/>
          <w:lang w:val="en-US" w:eastAsia="zh-CN"/>
        </w:rPr>
        <w:t>。较上年支出数减少40.88万元，减少45.2%，主要原因是较上年减少公务车购置及严控公务车运行维护费用。</w:t>
      </w:r>
    </w:p>
    <w:p w14:paraId="6BCEE6E5">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（二）“三公”经费分项支出情况</w:t>
      </w:r>
    </w:p>
    <w:p w14:paraId="0136B74B">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因公出国（境）费用0万元。费用支出较年初预算数相比无变化，费用支出与2023年度相比无变化。</w:t>
      </w:r>
    </w:p>
    <w:p w14:paraId="7900C39F">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公务车购置费用0万元。费用支出较年初预算数相比无变化，较上年支出数减少24.97万元，下降100%，主要原因是2024年无报废更新公务车。</w:t>
      </w:r>
    </w:p>
    <w:p w14:paraId="127EB6DA">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公务车运行维护费49.04万元，主要用于</w:t>
      </w:r>
      <w:r>
        <w:rPr>
          <w:rFonts w:hint="eastAsia" w:ascii="Times New Roman" w:hAnsi="Times New Roman" w:eastAsia="方正仿宋_GBK" w:cs="Times New Roman"/>
          <w:sz w:val="32"/>
          <w:szCs w:val="32"/>
          <w:lang w:eastAsia="zh-CN"/>
        </w:rPr>
        <w:t>交通</w:t>
      </w:r>
      <w:r>
        <w:rPr>
          <w:rFonts w:hint="eastAsia" w:ascii="Times New Roman" w:hAnsi="Times New Roman" w:eastAsia="方正仿宋_GBK" w:cs="Times New Roman"/>
          <w:sz w:val="32"/>
          <w:szCs w:val="32"/>
        </w:rPr>
        <w:t>执法检查等工作所需车辆的油费、维修费、过桥过路费、保险费等</w:t>
      </w:r>
      <w:r>
        <w:rPr>
          <w:rFonts w:hint="eastAsia" w:ascii="宋体" w:hAnsi="宋体" w:eastAsia="方正仿宋_GBK" w:cs="方正仿宋_GBK"/>
          <w:color w:val="auto"/>
          <w:sz w:val="32"/>
          <w:lang w:val="en-US" w:eastAsia="zh-CN"/>
        </w:rPr>
        <w:t>。费用支出较年初预算数减少3.46万元，较上年支出数减少15.96万元，下降24.55%，主要原因是</w:t>
      </w:r>
      <w:r>
        <w:rPr>
          <w:rFonts w:hint="eastAsia" w:ascii="Times New Roman" w:hAnsi="Times New Roman" w:eastAsia="方正仿宋_GBK" w:cs="Times New Roman"/>
          <w:sz w:val="32"/>
          <w:szCs w:val="32"/>
        </w:rPr>
        <w:t>严格落实公务用车使用规定</w:t>
      </w:r>
      <w:r>
        <w:rPr>
          <w:rFonts w:hint="eastAsia" w:eastAsia="方正仿宋_GBK" w:cs="Times New Roman"/>
          <w:sz w:val="32"/>
          <w:szCs w:val="32"/>
          <w:lang w:eastAsia="zh-CN"/>
        </w:rPr>
        <w:t>，</w:t>
      </w:r>
      <w:r>
        <w:rPr>
          <w:rFonts w:hint="eastAsia" w:ascii="宋体" w:hAnsi="宋体" w:eastAsia="方正仿宋_GBK" w:cs="方正仿宋_GBK"/>
          <w:color w:val="auto"/>
          <w:sz w:val="32"/>
          <w:lang w:val="en-US" w:eastAsia="zh-CN"/>
        </w:rPr>
        <w:t>严控公务车运行维护费用。</w:t>
      </w:r>
    </w:p>
    <w:p w14:paraId="39257A49">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公务接待费0.52万元，主要用于</w:t>
      </w:r>
      <w:r>
        <w:rPr>
          <w:rFonts w:hint="eastAsia" w:ascii="Times New Roman" w:hAnsi="Times New Roman" w:eastAsia="方正仿宋_GBK" w:cs="Times New Roman"/>
          <w:sz w:val="32"/>
          <w:szCs w:val="32"/>
        </w:rPr>
        <w:t>接受相关部门检查指导工作</w:t>
      </w:r>
      <w:r>
        <w:rPr>
          <w:rFonts w:hint="eastAsia" w:ascii="Times New Roman" w:hAnsi="Times New Roman" w:eastAsia="方正仿宋_GBK" w:cs="Times New Roman"/>
          <w:sz w:val="32"/>
          <w:szCs w:val="32"/>
          <w:lang w:eastAsia="zh-CN"/>
        </w:rPr>
        <w:t>等</w:t>
      </w:r>
      <w:r>
        <w:rPr>
          <w:rFonts w:hint="eastAsia" w:ascii="Times New Roman" w:hAnsi="Times New Roman" w:eastAsia="方正仿宋_GBK" w:cs="Times New Roman"/>
          <w:sz w:val="32"/>
          <w:szCs w:val="32"/>
        </w:rPr>
        <w:t>发生的接待支出</w:t>
      </w:r>
      <w:r>
        <w:rPr>
          <w:rFonts w:hint="eastAsia" w:ascii="宋体" w:hAnsi="宋体" w:eastAsia="方正仿宋_GBK" w:cs="方正仿宋_GBK"/>
          <w:color w:val="auto"/>
          <w:sz w:val="32"/>
          <w:lang w:val="en-US" w:eastAsia="zh-CN"/>
        </w:rPr>
        <w:t>。费用支出较年初预算数减少1.48万元，较上年支出数增加0.05万元，增长10.64%，主要原因是接待人数增加。</w:t>
      </w:r>
    </w:p>
    <w:p w14:paraId="39BA9933">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Fonts w:hint="eastAsia" w:ascii="宋体" w:hAnsi="宋体" w:eastAsia="方正楷体_GBK" w:cs="方正楷体_GBK"/>
        </w:rPr>
      </w:pPr>
      <w:r>
        <w:rPr>
          <w:rStyle w:val="14"/>
          <w:rFonts w:hint="eastAsia" w:ascii="宋体" w:hAnsi="宋体" w:eastAsia="方正楷体_GBK" w:cs="方正楷体_GBK"/>
          <w:b w:val="0"/>
          <w:bCs/>
          <w:kern w:val="2"/>
          <w:sz w:val="32"/>
          <w:szCs w:val="32"/>
          <w:shd w:val="clear" w:color="auto" w:fill="FFFFFF"/>
          <w:lang w:val="en-US" w:eastAsia="zh-CN" w:bidi="ar-SA"/>
        </w:rPr>
        <w:t>（三）“三公”经费实物量情况</w:t>
      </w:r>
    </w:p>
    <w:p w14:paraId="6205DE58">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本部门因公出国（境）共计0个团组，0人；公务用车购置0辆，公务车保有量为15辆；国内公务接待5批次61人，其中：国内外事接待0批次，0人；国（境）外公务接待0批次，0人。人均接待费82.25元，车均购置费0万元，车均维护费3.27万元。</w:t>
      </w:r>
    </w:p>
    <w:p w14:paraId="08AC5C3A">
      <w:pPr>
        <w:pStyle w:val="10"/>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579" w:lineRule="exact"/>
        <w:ind w:right="0" w:rightChars="0" w:firstLine="640" w:firstLineChars="200"/>
        <w:jc w:val="left"/>
        <w:textAlignment w:val="auto"/>
        <w:outlineLvl w:val="0"/>
        <w:rPr>
          <w:rStyle w:val="14"/>
          <w:rFonts w:hint="eastAsia" w:ascii="宋体" w:hAnsi="宋体" w:eastAsia="方正黑体_GBK" w:cs="方正黑体_GBK"/>
          <w:b w:val="0"/>
          <w:sz w:val="32"/>
          <w:szCs w:val="32"/>
          <w:shd w:val="clear" w:color="auto" w:fill="FFFFFF"/>
        </w:rPr>
      </w:pPr>
      <w:r>
        <w:rPr>
          <w:rStyle w:val="14"/>
          <w:rFonts w:hint="eastAsia" w:ascii="宋体" w:hAnsi="宋体" w:eastAsia="方正黑体_GBK" w:cs="方正黑体_GBK"/>
          <w:b w:val="0"/>
          <w:sz w:val="32"/>
          <w:szCs w:val="32"/>
          <w:shd w:val="clear" w:color="auto" w:fill="FFFFFF"/>
          <w:lang w:val="en-US" w:eastAsia="zh-CN"/>
        </w:rPr>
        <w:t>四、</w:t>
      </w:r>
      <w:r>
        <w:rPr>
          <w:rStyle w:val="14"/>
          <w:rFonts w:hint="eastAsia" w:ascii="宋体" w:hAnsi="宋体" w:eastAsia="方正黑体_GBK" w:cs="方正黑体_GBK"/>
          <w:b w:val="0"/>
          <w:sz w:val="32"/>
          <w:szCs w:val="32"/>
          <w:shd w:val="clear" w:color="auto" w:fill="FFFFFF"/>
        </w:rPr>
        <w:t>其他需要说明的事项</w:t>
      </w:r>
    </w:p>
    <w:p w14:paraId="26D383EA">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4"/>
          <w:rFonts w:hint="default"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（一）财政拨款会议费和培训费情况</w:t>
      </w:r>
    </w:p>
    <w:p w14:paraId="08D0E1FB">
      <w:pPr>
        <w:pStyle w:val="5"/>
        <w:keepNext w:val="0"/>
        <w:keepLines w:val="0"/>
        <w:pageBreakBefore w:val="0"/>
        <w:kinsoku/>
        <w:wordWrap/>
        <w:overflowPunct/>
        <w:topLinePunct w:val="0"/>
        <w:autoSpaceDN/>
        <w:bidi w:val="0"/>
        <w:snapToGrid w:val="0"/>
        <w:spacing w:before="0" w:beforeAutospacing="0" w:after="0" w:afterAutospacing="0" w:line="579" w:lineRule="exact"/>
        <w:ind w:firstLine="640" w:firstLineChars="200"/>
        <w:jc w:val="both"/>
        <w:textAlignment w:val="auto"/>
        <w:rPr>
          <w:rFonts w:hint="default"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lang w:val="en-US" w:eastAsia="zh-CN"/>
        </w:rPr>
        <w:t>2024</w:t>
      </w:r>
      <w:r>
        <w:rPr>
          <w:rFonts w:ascii="方正仿宋_GBK" w:hAnsi="方正仿宋_GBK" w:eastAsia="方正仿宋_GBK" w:cs="方正仿宋_GBK"/>
          <w:sz w:val="32"/>
          <w:szCs w:val="32"/>
          <w:shd w:val="clear" w:color="auto" w:fill="FFFFFF"/>
        </w:rPr>
        <w:t>年度会议费支出</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lang w:eastAsia="zh-CN"/>
        </w:rPr>
        <w:t>无变化</w:t>
      </w:r>
      <w:r>
        <w:rPr>
          <w:rFonts w:ascii="方正仿宋_GBK" w:hAnsi="方正仿宋_GBK" w:eastAsia="方正仿宋_GBK" w:cs="方正仿宋_GBK"/>
          <w:sz w:val="32"/>
          <w:szCs w:val="32"/>
          <w:shd w:val="clear" w:color="auto" w:fill="FFFFFF"/>
        </w:rPr>
        <w:t>。本年度培训费支出</w:t>
      </w:r>
      <w:r>
        <w:rPr>
          <w:rFonts w:hint="eastAsia" w:ascii="方正仿宋_GBK" w:hAnsi="方正仿宋_GBK" w:eastAsia="方正仿宋_GBK" w:cs="方正仿宋_GBK"/>
          <w:sz w:val="32"/>
          <w:szCs w:val="32"/>
          <w:lang w:val="en-US" w:eastAsia="zh-CN"/>
        </w:rPr>
        <w:t>6.08</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lang w:eastAsia="zh-CN"/>
        </w:rPr>
        <w:t>减少</w:t>
      </w:r>
      <w:r>
        <w:rPr>
          <w:rFonts w:hint="eastAsia" w:ascii="方正仿宋_GBK" w:hAnsi="方正仿宋_GBK" w:eastAsia="方正仿宋_GBK" w:cs="方正仿宋_GBK"/>
          <w:sz w:val="32"/>
          <w:szCs w:val="32"/>
          <w:shd w:val="clear" w:color="auto" w:fill="FFFFFF"/>
          <w:lang w:val="en-US" w:eastAsia="zh-CN"/>
        </w:rPr>
        <w:t>9.06</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下降</w:t>
      </w:r>
      <w:r>
        <w:rPr>
          <w:rFonts w:hint="eastAsia" w:ascii="方正仿宋_GBK" w:hAnsi="方正仿宋_GBK" w:eastAsia="方正仿宋_GBK" w:cs="方正仿宋_GBK"/>
          <w:sz w:val="32"/>
          <w:szCs w:val="32"/>
          <w:shd w:val="clear" w:color="auto" w:fill="FFFFFF"/>
          <w:lang w:val="en-US" w:eastAsia="zh-CN"/>
        </w:rPr>
        <w:t>59.84</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lang w:eastAsia="zh-CN"/>
        </w:rPr>
        <w:t>培训活动减少，培训支出相应减少</w:t>
      </w:r>
      <w:r>
        <w:rPr>
          <w:rFonts w:ascii="方正仿宋_GBK" w:hAnsi="方正仿宋_GBK" w:eastAsia="方正仿宋_GBK" w:cs="方正仿宋_GBK"/>
          <w:sz w:val="32"/>
          <w:szCs w:val="32"/>
          <w:shd w:val="clear" w:color="auto" w:fill="FFFFFF"/>
        </w:rPr>
        <w:t>。</w:t>
      </w:r>
    </w:p>
    <w:p w14:paraId="680EBDFC">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4"/>
          <w:rFonts w:hint="default"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（二）机关运行经费情况</w:t>
      </w:r>
    </w:p>
    <w:p w14:paraId="57571FE6">
      <w:pPr>
        <w:keepNext w:val="0"/>
        <w:keepLines w:val="0"/>
        <w:pageBreakBefore w:val="0"/>
        <w:kinsoku/>
        <w:wordWrap/>
        <w:overflowPunct/>
        <w:topLinePunct w:val="0"/>
        <w:autoSpaceDN/>
        <w:bidi w:val="0"/>
        <w:snapToGrid/>
        <w:spacing w:line="579" w:lineRule="exact"/>
        <w:ind w:firstLine="480" w:firstLineChars="150"/>
        <w:textAlignment w:val="auto"/>
        <w:rPr>
          <w:rFonts w:hint="eastAsia" w:ascii="宋体" w:hAnsi="宋体" w:eastAsia="方正仿宋_GBK" w:cs="方正仿宋_GBK"/>
          <w:kern w:val="0"/>
          <w:sz w:val="32"/>
          <w:szCs w:val="32"/>
        </w:rPr>
      </w:pPr>
      <w:r>
        <w:rPr>
          <w:rFonts w:hint="eastAsia" w:ascii="宋体" w:hAnsi="宋体" w:eastAsia="方正仿宋_GBK" w:cs="方正仿宋_GBK"/>
          <w:kern w:val="0"/>
          <w:sz w:val="32"/>
          <w:szCs w:val="32"/>
        </w:rPr>
        <w:t>202</w:t>
      </w:r>
      <w:r>
        <w:rPr>
          <w:rFonts w:hint="eastAsia" w:ascii="宋体" w:hAnsi="宋体" w:eastAsia="方正仿宋_GBK" w:cs="方正仿宋_GBK"/>
          <w:kern w:val="0"/>
          <w:sz w:val="32"/>
          <w:szCs w:val="32"/>
          <w:lang w:val="en-US" w:eastAsia="zh-CN"/>
        </w:rPr>
        <w:t>4</w:t>
      </w:r>
      <w:r>
        <w:rPr>
          <w:rFonts w:hint="eastAsia" w:ascii="宋体" w:hAnsi="宋体" w:eastAsia="方正仿宋_GBK" w:cs="方正仿宋_GBK"/>
          <w:kern w:val="0"/>
          <w:sz w:val="32"/>
          <w:szCs w:val="32"/>
        </w:rPr>
        <w:t>年度本</w:t>
      </w:r>
      <w:r>
        <w:rPr>
          <w:rFonts w:hint="eastAsia" w:ascii="宋体" w:hAnsi="宋体" w:eastAsia="方正仿宋_GBK" w:cs="方正仿宋_GBK"/>
          <w:kern w:val="0"/>
          <w:sz w:val="32"/>
          <w:szCs w:val="32"/>
          <w:lang w:val="en-US" w:eastAsia="zh-CN"/>
        </w:rPr>
        <w:t>部门</w:t>
      </w:r>
      <w:r>
        <w:rPr>
          <w:rFonts w:hint="eastAsia" w:ascii="宋体" w:hAnsi="宋体" w:eastAsia="方正仿宋_GBK" w:cs="方正仿宋_GBK"/>
          <w:kern w:val="0"/>
          <w:sz w:val="32"/>
          <w:szCs w:val="32"/>
        </w:rPr>
        <w:t>机关运行经费支出</w:t>
      </w:r>
      <w:r>
        <w:rPr>
          <w:rFonts w:hint="eastAsia" w:ascii="宋体" w:hAnsi="宋体" w:eastAsia="方正仿宋_GBK" w:cs="方正仿宋_GBK"/>
          <w:kern w:val="0"/>
          <w:sz w:val="32"/>
          <w:szCs w:val="32"/>
          <w:lang w:val="en-US" w:eastAsia="zh-CN"/>
        </w:rPr>
        <w:t>623.92</w:t>
      </w:r>
      <w:r>
        <w:rPr>
          <w:rFonts w:hint="eastAsia" w:ascii="宋体" w:hAnsi="宋体" w:eastAsia="方正仿宋_GBK" w:cs="方正仿宋_GBK"/>
          <w:kern w:val="0"/>
          <w:sz w:val="32"/>
          <w:szCs w:val="32"/>
        </w:rPr>
        <w:t>万元，</w:t>
      </w:r>
      <w:r>
        <w:rPr>
          <w:rFonts w:hint="eastAsia" w:ascii="宋体" w:hAnsi="宋体" w:eastAsia="方正仿宋_GBK" w:cs="方正仿宋_GBK"/>
          <w:kern w:val="0"/>
          <w:sz w:val="32"/>
          <w:szCs w:val="32"/>
          <w:lang w:val="en-US" w:eastAsia="zh-CN"/>
        </w:rPr>
        <w:t>较上年</w:t>
      </w:r>
      <w:r>
        <w:rPr>
          <w:rFonts w:hint="eastAsia" w:ascii="宋体" w:hAnsi="宋体" w:eastAsia="方正仿宋_GBK" w:cs="方正仿宋_GBK"/>
          <w:kern w:val="0"/>
          <w:sz w:val="32"/>
          <w:szCs w:val="32"/>
          <w:lang w:eastAsia="zh-CN"/>
        </w:rPr>
        <w:t>减少</w:t>
      </w:r>
      <w:r>
        <w:rPr>
          <w:rFonts w:hint="eastAsia" w:ascii="宋体" w:hAnsi="宋体" w:eastAsia="方正仿宋_GBK" w:cs="方正仿宋_GBK"/>
          <w:kern w:val="0"/>
          <w:sz w:val="32"/>
          <w:szCs w:val="32"/>
          <w:lang w:val="en-US" w:eastAsia="zh-CN"/>
        </w:rPr>
        <w:t>6.43</w:t>
      </w:r>
      <w:r>
        <w:rPr>
          <w:rFonts w:hint="eastAsia" w:ascii="宋体" w:hAnsi="宋体" w:eastAsia="方正仿宋_GBK" w:cs="方正仿宋_GBK"/>
          <w:kern w:val="0"/>
          <w:sz w:val="32"/>
          <w:szCs w:val="32"/>
        </w:rPr>
        <w:t>万元，</w:t>
      </w:r>
      <w:r>
        <w:rPr>
          <w:rFonts w:hint="eastAsia" w:ascii="宋体" w:hAnsi="宋体" w:eastAsia="方正仿宋_GBK" w:cs="方正仿宋_GBK"/>
          <w:kern w:val="0"/>
          <w:sz w:val="32"/>
          <w:szCs w:val="32"/>
          <w:lang w:eastAsia="zh-CN"/>
        </w:rPr>
        <w:t>下降</w:t>
      </w:r>
      <w:r>
        <w:rPr>
          <w:rFonts w:hint="eastAsia" w:ascii="宋体" w:hAnsi="宋体" w:eastAsia="方正仿宋_GBK" w:cs="方正仿宋_GBK"/>
          <w:kern w:val="0"/>
          <w:sz w:val="32"/>
          <w:szCs w:val="32"/>
          <w:lang w:val="en-US" w:eastAsia="zh-CN"/>
        </w:rPr>
        <w:t>1.02</w:t>
      </w:r>
      <w:r>
        <w:rPr>
          <w:rFonts w:hint="eastAsia" w:ascii="宋体" w:hAnsi="宋体" w:eastAsia="方正仿宋_GBK" w:cs="方正仿宋_GBK"/>
          <w:kern w:val="0"/>
          <w:sz w:val="32"/>
          <w:szCs w:val="32"/>
        </w:rPr>
        <w:t>%，主要原因是</w:t>
      </w:r>
      <w:r>
        <w:rPr>
          <w:rFonts w:hint="eastAsia" w:ascii="宋体" w:hAnsi="宋体" w:eastAsia="方正仿宋_GBK" w:cs="方正仿宋_GBK"/>
          <w:color w:val="auto"/>
          <w:sz w:val="32"/>
          <w:lang w:val="en-US" w:eastAsia="zh-CN"/>
        </w:rPr>
        <w:t>持续落实党政机关过紧日子要求</w:t>
      </w:r>
      <w:r>
        <w:rPr>
          <w:rFonts w:hint="eastAsia" w:ascii="Times New Roman" w:hAnsi="Times New Roman" w:eastAsia="方正仿宋_GBK" w:cs="宋体"/>
          <w:kern w:val="0"/>
          <w:sz w:val="32"/>
          <w:szCs w:val="32"/>
        </w:rPr>
        <w:t>，从严从紧控制经费开支</w:t>
      </w:r>
      <w:r>
        <w:rPr>
          <w:rFonts w:hint="eastAsia" w:ascii="宋体" w:hAnsi="宋体" w:eastAsia="方正仿宋_GBK" w:cs="方正仿宋_GBK"/>
          <w:kern w:val="0"/>
          <w:sz w:val="32"/>
          <w:szCs w:val="32"/>
        </w:rPr>
        <w:t>。比年初预算数</w:t>
      </w:r>
      <w:r>
        <w:rPr>
          <w:rFonts w:hint="eastAsia" w:ascii="宋体" w:hAnsi="宋体" w:eastAsia="方正仿宋_GBK" w:cs="方正仿宋_GBK"/>
          <w:kern w:val="0"/>
          <w:sz w:val="32"/>
          <w:szCs w:val="32"/>
          <w:lang w:eastAsia="zh-CN"/>
        </w:rPr>
        <w:t>减少</w:t>
      </w:r>
      <w:r>
        <w:rPr>
          <w:rFonts w:hint="eastAsia" w:ascii="宋体" w:hAnsi="宋体" w:eastAsia="方正仿宋_GBK" w:cs="方正仿宋_GBK"/>
          <w:kern w:val="0"/>
          <w:sz w:val="32"/>
          <w:szCs w:val="32"/>
          <w:lang w:val="en-US" w:eastAsia="zh-CN"/>
        </w:rPr>
        <w:t>23.26</w:t>
      </w:r>
      <w:r>
        <w:rPr>
          <w:rFonts w:hint="eastAsia" w:ascii="宋体" w:hAnsi="宋体" w:eastAsia="方正仿宋_GBK" w:cs="方正仿宋_GBK"/>
          <w:kern w:val="0"/>
          <w:sz w:val="32"/>
          <w:szCs w:val="32"/>
        </w:rPr>
        <w:t>万元，增长</w:t>
      </w:r>
      <w:r>
        <w:rPr>
          <w:rFonts w:hint="eastAsia" w:ascii="宋体" w:hAnsi="宋体" w:eastAsia="方正仿宋_GBK" w:cs="方正仿宋_GBK"/>
          <w:kern w:val="0"/>
          <w:sz w:val="32"/>
          <w:szCs w:val="32"/>
          <w:lang w:val="en-US" w:eastAsia="zh-CN"/>
        </w:rPr>
        <w:t>3.59</w:t>
      </w:r>
      <w:r>
        <w:rPr>
          <w:rFonts w:hint="eastAsia" w:ascii="宋体" w:hAnsi="宋体" w:eastAsia="方正仿宋_GBK" w:cs="方正仿宋_GBK"/>
          <w:kern w:val="0"/>
          <w:sz w:val="32"/>
          <w:szCs w:val="32"/>
        </w:rPr>
        <w:t>%，主要原因是</w:t>
      </w:r>
      <w:r>
        <w:rPr>
          <w:rFonts w:hint="eastAsia" w:ascii="宋体" w:hAnsi="宋体" w:eastAsia="方正仿宋_GBK" w:cs="方正仿宋_GBK"/>
          <w:color w:val="auto"/>
          <w:sz w:val="32"/>
          <w:lang w:val="en-US" w:eastAsia="zh-CN"/>
        </w:rPr>
        <w:t>持续落实党政机关过紧日子要求</w:t>
      </w:r>
      <w:r>
        <w:rPr>
          <w:rFonts w:hint="eastAsia" w:ascii="Times New Roman" w:hAnsi="Times New Roman" w:eastAsia="方正仿宋_GBK" w:cs="宋体"/>
          <w:kern w:val="0"/>
          <w:sz w:val="32"/>
          <w:szCs w:val="32"/>
        </w:rPr>
        <w:t>，从严从紧控制经费开支</w:t>
      </w:r>
      <w:r>
        <w:rPr>
          <w:rFonts w:hint="eastAsia" w:ascii="宋体" w:hAnsi="宋体" w:eastAsia="方正仿宋_GBK" w:cs="方正仿宋_GBK"/>
          <w:kern w:val="0"/>
          <w:sz w:val="32"/>
          <w:szCs w:val="32"/>
        </w:rPr>
        <w:t>。机关运</w:t>
      </w:r>
      <w:r>
        <w:rPr>
          <w:rFonts w:hint="eastAsia" w:ascii="宋体" w:hAnsi="宋体" w:eastAsia="方正仿宋_GBK" w:cs="方正仿宋_GBK"/>
          <w:kern w:val="0"/>
          <w:sz w:val="32"/>
          <w:szCs w:val="32"/>
          <w:lang w:eastAsia="zh-CN"/>
        </w:rPr>
        <w:t>行</w:t>
      </w:r>
      <w:r>
        <w:rPr>
          <w:rFonts w:hint="eastAsia" w:ascii="宋体" w:hAnsi="宋体" w:eastAsia="方正仿宋_GBK" w:cs="方正仿宋_GBK"/>
          <w:kern w:val="0"/>
          <w:sz w:val="32"/>
          <w:szCs w:val="32"/>
        </w:rPr>
        <w:t>经费主要用于</w:t>
      </w:r>
      <w:r>
        <w:rPr>
          <w:rFonts w:hint="eastAsia" w:ascii="Times New Roman" w:hAnsi="Times New Roman" w:eastAsia="方正仿宋_GBK" w:cs="宋体"/>
          <w:kern w:val="0"/>
          <w:sz w:val="32"/>
          <w:szCs w:val="32"/>
        </w:rPr>
        <w:t>办公费、印刷费、</w:t>
      </w:r>
      <w:r>
        <w:rPr>
          <w:rFonts w:hint="eastAsia" w:ascii="Times New Roman" w:hAnsi="Times New Roman" w:eastAsia="方正仿宋_GBK" w:cs="宋体"/>
          <w:kern w:val="0"/>
          <w:sz w:val="32"/>
          <w:szCs w:val="32"/>
          <w:lang w:eastAsia="zh-CN"/>
        </w:rPr>
        <w:t>培训费、</w:t>
      </w:r>
      <w:r>
        <w:rPr>
          <w:rFonts w:hint="eastAsia" w:ascii="Times New Roman" w:hAnsi="Times New Roman" w:eastAsia="方正仿宋_GBK" w:cs="宋体"/>
          <w:kern w:val="0"/>
          <w:sz w:val="32"/>
          <w:szCs w:val="32"/>
        </w:rPr>
        <w:t>水电费、邮电费、差旅费、劳务费、工会经费、公务车运行维护费、福利费、其他交通费用、其他商品</w:t>
      </w:r>
      <w:r>
        <w:rPr>
          <w:rFonts w:hint="eastAsia" w:ascii="Times New Roman" w:hAnsi="Times New Roman" w:eastAsia="方正仿宋_GBK" w:cs="宋体"/>
          <w:kern w:val="0"/>
          <w:sz w:val="32"/>
          <w:szCs w:val="32"/>
          <w:lang w:eastAsia="zh-CN"/>
        </w:rPr>
        <w:t>和</w:t>
      </w:r>
      <w:r>
        <w:rPr>
          <w:rFonts w:hint="eastAsia" w:ascii="Times New Roman" w:hAnsi="Times New Roman" w:eastAsia="方正仿宋_GBK" w:cs="宋体"/>
          <w:kern w:val="0"/>
          <w:sz w:val="32"/>
          <w:szCs w:val="32"/>
        </w:rPr>
        <w:t>服务支出等</w:t>
      </w:r>
      <w:r>
        <w:rPr>
          <w:rFonts w:hint="eastAsia" w:ascii="宋体" w:hAnsi="宋体" w:eastAsia="方正仿宋_GBK" w:cs="方正仿宋_GBK"/>
          <w:kern w:val="0"/>
          <w:sz w:val="32"/>
          <w:szCs w:val="32"/>
        </w:rPr>
        <w:t>。</w:t>
      </w:r>
    </w:p>
    <w:p w14:paraId="1899B314">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（三）国有资产占用情况说明</w:t>
      </w:r>
    </w:p>
    <w:p w14:paraId="73F46A8C">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kern w:val="0"/>
          <w:sz w:val="32"/>
          <w:szCs w:val="32"/>
        </w:rPr>
      </w:pPr>
      <w:r>
        <w:rPr>
          <w:rFonts w:hint="eastAsia" w:ascii="宋体" w:hAnsi="宋体" w:eastAsia="方正仿宋_GBK" w:cs="方正仿宋_GBK"/>
          <w:kern w:val="0"/>
          <w:sz w:val="32"/>
          <w:szCs w:val="32"/>
        </w:rPr>
        <w:t>截至202</w:t>
      </w:r>
      <w:r>
        <w:rPr>
          <w:rFonts w:hint="eastAsia" w:ascii="宋体" w:hAnsi="宋体" w:eastAsia="方正仿宋_GBK" w:cs="方正仿宋_GBK"/>
          <w:kern w:val="0"/>
          <w:sz w:val="32"/>
          <w:szCs w:val="32"/>
          <w:lang w:val="en-US" w:eastAsia="zh-CN"/>
        </w:rPr>
        <w:t>4</w:t>
      </w:r>
      <w:r>
        <w:rPr>
          <w:rFonts w:hint="eastAsia" w:ascii="宋体" w:hAnsi="宋体" w:eastAsia="方正仿宋_GBK" w:cs="方正仿宋_GBK"/>
          <w:kern w:val="0"/>
          <w:sz w:val="32"/>
          <w:szCs w:val="32"/>
        </w:rPr>
        <w:t>年12月31日，本部门共有车辆</w:t>
      </w:r>
      <w:r>
        <w:rPr>
          <w:rFonts w:hint="eastAsia" w:ascii="宋体" w:hAnsi="宋体" w:eastAsia="方正仿宋_GBK" w:cs="方正仿宋_GBK"/>
          <w:kern w:val="0"/>
          <w:sz w:val="32"/>
          <w:szCs w:val="32"/>
          <w:lang w:val="en-US" w:eastAsia="zh-CN"/>
        </w:rPr>
        <w:t>15</w:t>
      </w:r>
      <w:r>
        <w:rPr>
          <w:rFonts w:hint="eastAsia" w:ascii="宋体" w:hAnsi="宋体" w:eastAsia="方正仿宋_GBK" w:cs="方正仿宋_GBK"/>
          <w:kern w:val="0"/>
          <w:sz w:val="32"/>
          <w:szCs w:val="32"/>
        </w:rPr>
        <w:t>辆。其中：副部（省）级及以上领导用车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辆，主要</w:t>
      </w:r>
      <w:r>
        <w:rPr>
          <w:rFonts w:hint="eastAsia" w:ascii="宋体" w:hAnsi="宋体" w:eastAsia="方正仿宋_GBK" w:cs="方正仿宋_GBK"/>
          <w:kern w:val="0"/>
          <w:sz w:val="32"/>
          <w:szCs w:val="32"/>
          <w:lang w:val="en-US" w:eastAsia="zh-CN"/>
        </w:rPr>
        <w:t>负责人</w:t>
      </w:r>
      <w:r>
        <w:rPr>
          <w:rFonts w:hint="eastAsia" w:ascii="宋体" w:hAnsi="宋体" w:eastAsia="方正仿宋_GBK" w:cs="方正仿宋_GBK"/>
          <w:kern w:val="0"/>
          <w:sz w:val="32"/>
          <w:szCs w:val="32"/>
        </w:rPr>
        <w:t>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辆，机要通信用车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辆，应急保障用车</w:t>
      </w:r>
      <w:r>
        <w:rPr>
          <w:rFonts w:hint="eastAsia" w:ascii="宋体" w:hAnsi="宋体" w:eastAsia="方正仿宋_GBK" w:cs="方正仿宋_GBK"/>
          <w:kern w:val="0"/>
          <w:sz w:val="32"/>
          <w:szCs w:val="32"/>
          <w:lang w:val="en-US" w:eastAsia="zh-CN"/>
        </w:rPr>
        <w:t>15</w:t>
      </w:r>
      <w:r>
        <w:rPr>
          <w:rFonts w:hint="eastAsia" w:ascii="宋体" w:hAnsi="宋体" w:eastAsia="方正仿宋_GBK" w:cs="方正仿宋_GBK"/>
          <w:kern w:val="0"/>
          <w:sz w:val="32"/>
          <w:szCs w:val="32"/>
        </w:rPr>
        <w:t>辆，执法执勤用车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辆，特种专业技术用车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辆，离退休干部</w:t>
      </w:r>
      <w:r>
        <w:rPr>
          <w:rFonts w:hint="eastAsia" w:ascii="宋体" w:hAnsi="宋体" w:eastAsia="方正仿宋_GBK" w:cs="方正仿宋_GBK"/>
          <w:kern w:val="0"/>
          <w:sz w:val="32"/>
          <w:szCs w:val="32"/>
          <w:lang w:val="en-US" w:eastAsia="zh-CN"/>
        </w:rPr>
        <w:t>服务</w:t>
      </w:r>
      <w:r>
        <w:rPr>
          <w:rFonts w:hint="eastAsia" w:ascii="宋体" w:hAnsi="宋体" w:eastAsia="方正仿宋_GBK" w:cs="方正仿宋_GBK"/>
          <w:kern w:val="0"/>
          <w:sz w:val="32"/>
          <w:szCs w:val="32"/>
        </w:rPr>
        <w:t>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辆，其他用车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辆。其他用车主要是用于</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。单价100万元（含）以上设备</w:t>
      </w:r>
      <w:r>
        <w:rPr>
          <w:rFonts w:hint="eastAsia" w:ascii="宋体" w:hAnsi="宋体" w:eastAsia="方正仿宋_GBK" w:cs="方正仿宋_GBK"/>
          <w:kern w:val="0"/>
          <w:sz w:val="32"/>
          <w:szCs w:val="32"/>
          <w:lang w:eastAsia="zh-CN"/>
        </w:rPr>
        <w:t>（</w:t>
      </w:r>
      <w:r>
        <w:rPr>
          <w:rFonts w:hint="eastAsia" w:ascii="宋体" w:hAnsi="宋体" w:eastAsia="方正仿宋_GBK" w:cs="方正仿宋_GBK"/>
          <w:kern w:val="0"/>
          <w:sz w:val="32"/>
          <w:szCs w:val="32"/>
          <w:lang w:val="en-US" w:eastAsia="zh-CN"/>
        </w:rPr>
        <w:t>不含车辆</w:t>
      </w:r>
      <w:r>
        <w:rPr>
          <w:rFonts w:hint="eastAsia" w:ascii="宋体" w:hAnsi="宋体" w:eastAsia="方正仿宋_GBK" w:cs="方正仿宋_GBK"/>
          <w:kern w:val="0"/>
          <w:sz w:val="32"/>
          <w:szCs w:val="32"/>
          <w:lang w:eastAsia="zh-CN"/>
        </w:rPr>
        <w:t>）</w:t>
      </w:r>
      <w:r>
        <w:rPr>
          <w:rFonts w:hint="eastAsia" w:ascii="宋体" w:hAnsi="宋体" w:eastAsia="方正仿宋_GBK" w:cs="方正仿宋_GBK"/>
          <w:kern w:val="0"/>
          <w:sz w:val="32"/>
          <w:szCs w:val="32"/>
          <w:lang w:val="en-US" w:eastAsia="zh-CN"/>
        </w:rPr>
        <w:t>8</w:t>
      </w:r>
      <w:r>
        <w:rPr>
          <w:rFonts w:hint="eastAsia" w:ascii="宋体" w:hAnsi="宋体" w:eastAsia="方正仿宋_GBK" w:cs="方正仿宋_GBK"/>
          <w:kern w:val="0"/>
          <w:sz w:val="32"/>
          <w:szCs w:val="32"/>
        </w:rPr>
        <w:t>台（套）。</w:t>
      </w:r>
    </w:p>
    <w:p w14:paraId="501C20EF">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（四）政府采购支出说明</w:t>
      </w:r>
    </w:p>
    <w:p w14:paraId="5E5BB225">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kern w:val="0"/>
          <w:sz w:val="32"/>
          <w:szCs w:val="32"/>
        </w:rPr>
        <w:t>202</w:t>
      </w:r>
      <w:r>
        <w:rPr>
          <w:rFonts w:hint="eastAsia" w:ascii="宋体" w:hAnsi="宋体" w:eastAsia="方正仿宋_GBK" w:cs="方正仿宋_GBK"/>
          <w:kern w:val="0"/>
          <w:sz w:val="32"/>
          <w:szCs w:val="32"/>
          <w:lang w:val="en-US" w:eastAsia="zh-CN"/>
        </w:rPr>
        <w:t>4</w:t>
      </w:r>
      <w:r>
        <w:rPr>
          <w:rFonts w:hint="eastAsia" w:ascii="宋体" w:hAnsi="宋体" w:eastAsia="方正仿宋_GBK" w:cs="方正仿宋_GBK"/>
          <w:kern w:val="0"/>
          <w:sz w:val="32"/>
          <w:szCs w:val="32"/>
        </w:rPr>
        <w:t>年度本部门政府采购支出总额</w:t>
      </w:r>
      <w:r>
        <w:rPr>
          <w:rFonts w:hint="eastAsia" w:ascii="宋体" w:hAnsi="宋体" w:eastAsia="方正仿宋_GBK" w:cs="方正仿宋_GBK"/>
          <w:kern w:val="0"/>
          <w:sz w:val="32"/>
          <w:szCs w:val="32"/>
          <w:lang w:val="en-US" w:eastAsia="zh-CN"/>
        </w:rPr>
        <w:t>174.42</w:t>
      </w:r>
      <w:r>
        <w:rPr>
          <w:rFonts w:hint="eastAsia" w:ascii="宋体" w:hAnsi="宋体" w:eastAsia="方正仿宋_GBK" w:cs="方正仿宋_GBK"/>
          <w:kern w:val="0"/>
          <w:sz w:val="32"/>
          <w:szCs w:val="32"/>
        </w:rPr>
        <w:t>万元，其中：政府采购货物支出</w:t>
      </w:r>
      <w:r>
        <w:rPr>
          <w:rFonts w:hint="eastAsia" w:ascii="宋体" w:hAnsi="宋体" w:eastAsia="方正仿宋_GBK" w:cs="方正仿宋_GBK"/>
          <w:kern w:val="0"/>
          <w:sz w:val="32"/>
          <w:szCs w:val="32"/>
          <w:lang w:val="en-US" w:eastAsia="zh-CN"/>
        </w:rPr>
        <w:t>174.42</w:t>
      </w:r>
      <w:r>
        <w:rPr>
          <w:rFonts w:hint="eastAsia" w:ascii="宋体" w:hAnsi="宋体" w:eastAsia="方正仿宋_GBK" w:cs="方正仿宋_GBK"/>
          <w:kern w:val="0"/>
          <w:sz w:val="32"/>
          <w:szCs w:val="32"/>
        </w:rPr>
        <w:t>万元、政府采购工程支出</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万元、政府采购服务支出</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万元。授予中小企业合同金额</w:t>
      </w:r>
      <w:r>
        <w:rPr>
          <w:rFonts w:hint="eastAsia" w:ascii="宋体" w:hAnsi="宋体" w:eastAsia="方正仿宋_GBK" w:cs="方正仿宋_GBK"/>
          <w:kern w:val="0"/>
          <w:sz w:val="32"/>
          <w:szCs w:val="32"/>
          <w:lang w:val="en-US" w:eastAsia="zh-CN"/>
        </w:rPr>
        <w:t>4.95</w:t>
      </w:r>
      <w:r>
        <w:rPr>
          <w:rFonts w:hint="eastAsia" w:ascii="宋体" w:hAnsi="宋体" w:eastAsia="方正仿宋_GBK" w:cs="方正仿宋_GBK"/>
          <w:kern w:val="0"/>
          <w:sz w:val="32"/>
          <w:szCs w:val="32"/>
        </w:rPr>
        <w:t>万元，占政府采购支出总额的</w:t>
      </w:r>
      <w:r>
        <w:rPr>
          <w:rFonts w:hint="eastAsia" w:ascii="宋体" w:hAnsi="宋体" w:eastAsia="方正仿宋_GBK" w:cs="方正仿宋_GBK"/>
          <w:kern w:val="0"/>
          <w:sz w:val="32"/>
          <w:szCs w:val="32"/>
          <w:lang w:val="en-US" w:eastAsia="zh-CN"/>
        </w:rPr>
        <w:t>2.84</w:t>
      </w:r>
      <w:r>
        <w:rPr>
          <w:rFonts w:hint="eastAsia" w:ascii="宋体" w:hAnsi="宋体" w:eastAsia="方正仿宋_GBK" w:cs="方正仿宋_GBK"/>
          <w:kern w:val="0"/>
          <w:sz w:val="32"/>
          <w:szCs w:val="32"/>
        </w:rPr>
        <w:t>%，其中：授予小微企业合同金额</w:t>
      </w:r>
      <w:r>
        <w:rPr>
          <w:rFonts w:hint="eastAsia" w:ascii="宋体" w:hAnsi="宋体" w:eastAsia="方正仿宋_GBK" w:cs="方正仿宋_GBK"/>
          <w:kern w:val="0"/>
          <w:sz w:val="32"/>
          <w:szCs w:val="32"/>
          <w:lang w:val="en-US" w:eastAsia="zh-CN"/>
        </w:rPr>
        <w:t>4.95</w:t>
      </w:r>
      <w:r>
        <w:rPr>
          <w:rFonts w:hint="eastAsia" w:ascii="宋体" w:hAnsi="宋体" w:eastAsia="方正仿宋_GBK" w:cs="方正仿宋_GBK"/>
          <w:kern w:val="0"/>
          <w:sz w:val="32"/>
          <w:szCs w:val="32"/>
        </w:rPr>
        <w:t>万元，占政府采购支出总额的</w:t>
      </w:r>
      <w:r>
        <w:rPr>
          <w:rFonts w:hint="eastAsia" w:ascii="宋体" w:hAnsi="宋体" w:eastAsia="方正仿宋_GBK" w:cs="方正仿宋_GBK"/>
          <w:kern w:val="0"/>
          <w:sz w:val="32"/>
          <w:szCs w:val="32"/>
          <w:lang w:val="en-US" w:eastAsia="zh-CN"/>
        </w:rPr>
        <w:t>2.84</w:t>
      </w:r>
      <w:r>
        <w:rPr>
          <w:rFonts w:hint="eastAsia" w:ascii="宋体" w:hAnsi="宋体" w:eastAsia="方正仿宋_GBK" w:cs="方正仿宋_GBK"/>
          <w:kern w:val="0"/>
          <w:sz w:val="32"/>
          <w:szCs w:val="32"/>
        </w:rPr>
        <w:t>%。</w:t>
      </w:r>
      <w:r>
        <w:rPr>
          <w:rFonts w:hint="eastAsia" w:ascii="宋体" w:hAnsi="宋体" w:eastAsia="方正仿宋_GBK" w:cs="方正仿宋_GBK"/>
          <w:color w:val="auto"/>
          <w:sz w:val="32"/>
          <w:lang w:val="en-US" w:eastAsia="zh-CN"/>
        </w:rPr>
        <w:t>主要用于采购</w:t>
      </w:r>
      <w:r>
        <w:rPr>
          <w:rFonts w:hint="default" w:ascii="宋体" w:hAnsi="宋体" w:eastAsia="方正仿宋_GBK" w:cs="方正仿宋_GBK"/>
          <w:color w:val="auto"/>
          <w:sz w:val="32"/>
          <w:lang w:eastAsia="zh-CN"/>
        </w:rPr>
        <w:t>非现场执法动态监控检测系统</w:t>
      </w:r>
      <w:r>
        <w:rPr>
          <w:rFonts w:hint="eastAsia" w:ascii="宋体" w:hAnsi="宋体" w:eastAsia="方正仿宋_GBK" w:cs="方正仿宋_GBK"/>
          <w:color w:val="auto"/>
          <w:sz w:val="32"/>
          <w:lang w:val="en-US" w:eastAsia="zh-CN"/>
        </w:rPr>
        <w:t>。</w:t>
      </w:r>
    </w:p>
    <w:p w14:paraId="635D6838">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outlineLvl w:val="0"/>
        <w:rPr>
          <w:rFonts w:hint="eastAsia" w:ascii="宋体" w:hAnsi="宋体" w:eastAsia="方正黑体_GBK" w:cs="方正黑体_GBK"/>
          <w:b w:val="0"/>
          <w:bCs/>
          <w:sz w:val="32"/>
          <w:szCs w:val="32"/>
          <w:lang w:eastAsia="zh-CN"/>
        </w:rPr>
      </w:pPr>
      <w:r>
        <w:rPr>
          <w:rStyle w:val="8"/>
          <w:rFonts w:hint="eastAsia" w:ascii="宋体" w:hAnsi="宋体" w:eastAsia="方正黑体_GBK" w:cs="方正黑体_GBK"/>
          <w:b w:val="0"/>
          <w:bCs/>
          <w:sz w:val="32"/>
          <w:szCs w:val="32"/>
          <w:shd w:val="clear" w:color="auto" w:fill="FFFFFF"/>
        </w:rPr>
        <w:t>五、预算绩效管理情况</w:t>
      </w:r>
    </w:p>
    <w:p w14:paraId="337B05AF">
      <w:pPr>
        <w:pStyle w:val="5"/>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outlineLvl w:val="1"/>
        <w:rPr>
          <w:rFonts w:hint="eastAsia" w:ascii="宋体" w:hAnsi="宋体" w:eastAsia="方正楷体_GBK" w:cs="方正楷体_GBK"/>
        </w:rPr>
      </w:pPr>
      <w:r>
        <w:rPr>
          <w:rStyle w:val="14"/>
          <w:rFonts w:hint="eastAsia" w:ascii="宋体" w:hAnsi="宋体" w:eastAsia="方正楷体_GBK" w:cs="方正楷体_GBK"/>
          <w:b w:val="0"/>
          <w:bCs/>
          <w:kern w:val="2"/>
          <w:sz w:val="32"/>
          <w:szCs w:val="32"/>
          <w:shd w:val="clear" w:color="auto" w:fill="FFFFFF"/>
          <w:lang w:val="en-US" w:eastAsia="zh-CN" w:bidi="ar-SA"/>
        </w:rPr>
        <w:t>（一）预算绩效管</w:t>
      </w:r>
      <w:bookmarkStart w:id="0" w:name="_GoBack"/>
      <w:bookmarkEnd w:id="0"/>
      <w:r>
        <w:rPr>
          <w:rStyle w:val="14"/>
          <w:rFonts w:hint="eastAsia" w:ascii="宋体" w:hAnsi="宋体" w:eastAsia="方正楷体_GBK" w:cs="方正楷体_GBK"/>
          <w:b w:val="0"/>
          <w:bCs/>
          <w:kern w:val="2"/>
          <w:sz w:val="32"/>
          <w:szCs w:val="32"/>
          <w:shd w:val="clear" w:color="auto" w:fill="FFFFFF"/>
          <w:lang w:val="en-US" w:eastAsia="zh-CN" w:bidi="ar-SA"/>
        </w:rPr>
        <w:t>理工作开展情况</w:t>
      </w:r>
    </w:p>
    <w:p w14:paraId="361FE1C6">
      <w:pPr>
        <w:pStyle w:val="5"/>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rPr>
      </w:pPr>
      <w:r>
        <w:rPr>
          <w:rFonts w:hint="eastAsia" w:ascii="宋体" w:hAnsi="宋体" w:eastAsia="方正仿宋_GBK" w:cs="方正仿宋_GBK"/>
          <w:kern w:val="0"/>
          <w:sz w:val="32"/>
          <w:szCs w:val="32"/>
        </w:rPr>
        <w:t>根据预算绩效管理要求，我</w:t>
      </w:r>
      <w:r>
        <w:rPr>
          <w:rFonts w:hint="eastAsia" w:ascii="宋体" w:hAnsi="宋体" w:eastAsia="方正仿宋_GBK" w:cs="方正仿宋_GBK"/>
          <w:kern w:val="0"/>
          <w:sz w:val="32"/>
          <w:szCs w:val="32"/>
          <w:lang w:eastAsia="zh-CN"/>
        </w:rPr>
        <w:t>单位</w:t>
      </w:r>
      <w:r>
        <w:rPr>
          <w:rFonts w:hint="eastAsia" w:ascii="宋体" w:hAnsi="宋体" w:eastAsia="方正仿宋_GBK" w:cs="方正仿宋_GBK"/>
          <w:kern w:val="0"/>
          <w:sz w:val="32"/>
          <w:szCs w:val="32"/>
        </w:rPr>
        <w:t>对</w:t>
      </w:r>
      <w:r>
        <w:rPr>
          <w:rFonts w:hint="eastAsia" w:ascii="宋体" w:hAnsi="宋体" w:eastAsia="方正仿宋_GBK" w:cs="方正仿宋_GBK"/>
          <w:kern w:val="0"/>
          <w:sz w:val="32"/>
          <w:szCs w:val="32"/>
          <w:lang w:val="en-US" w:eastAsia="zh-CN"/>
        </w:rPr>
        <w:t>11</w:t>
      </w:r>
      <w:r>
        <w:rPr>
          <w:rFonts w:hint="eastAsia" w:ascii="宋体" w:hAnsi="宋体" w:eastAsia="方正仿宋_GBK" w:cs="方正仿宋_GBK"/>
          <w:kern w:val="0"/>
          <w:sz w:val="32"/>
          <w:szCs w:val="32"/>
        </w:rPr>
        <w:t>个项目开展了绩效自评，其中，以填报目标自评表形式开展自评</w:t>
      </w:r>
      <w:r>
        <w:rPr>
          <w:rFonts w:hint="eastAsia" w:ascii="宋体" w:hAnsi="宋体" w:eastAsia="方正仿宋_GBK" w:cs="方正仿宋_GBK"/>
          <w:kern w:val="0"/>
          <w:sz w:val="32"/>
          <w:szCs w:val="32"/>
          <w:lang w:val="en-US" w:eastAsia="zh-CN"/>
        </w:rPr>
        <w:t>11</w:t>
      </w:r>
      <w:r>
        <w:rPr>
          <w:rFonts w:hint="eastAsia" w:ascii="宋体" w:hAnsi="宋体" w:eastAsia="方正仿宋_GBK" w:cs="方正仿宋_GBK"/>
          <w:kern w:val="0"/>
          <w:sz w:val="32"/>
          <w:szCs w:val="32"/>
        </w:rPr>
        <w:t>项，涉及资金</w:t>
      </w:r>
      <w:r>
        <w:rPr>
          <w:rFonts w:hint="eastAsia" w:ascii="宋体" w:hAnsi="宋体" w:eastAsia="方正仿宋_GBK" w:cs="方正仿宋_GBK"/>
          <w:kern w:val="0"/>
          <w:sz w:val="32"/>
          <w:szCs w:val="32"/>
          <w:lang w:val="en-US" w:eastAsia="zh-CN"/>
        </w:rPr>
        <w:t>494.11</w:t>
      </w:r>
      <w:r>
        <w:rPr>
          <w:rFonts w:hint="eastAsia" w:ascii="宋体" w:hAnsi="宋体" w:eastAsia="方正仿宋_GBK" w:cs="方正仿宋_GBK"/>
          <w:kern w:val="0"/>
          <w:sz w:val="32"/>
          <w:szCs w:val="32"/>
        </w:rPr>
        <w:t>万元；以委托第三方形式开展绩效自评</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项，涉及资金</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万元</w:t>
      </w:r>
      <w:r>
        <w:rPr>
          <w:rFonts w:hint="eastAsia" w:ascii="宋体" w:hAnsi="宋体" w:eastAsia="方正仿宋_GBK" w:cs="方正仿宋_GBK"/>
          <w:kern w:val="0"/>
          <w:sz w:val="32"/>
          <w:szCs w:val="32"/>
          <w:lang w:eastAsia="zh-CN"/>
        </w:rPr>
        <w:t>。</w:t>
      </w:r>
    </w:p>
    <w:p w14:paraId="675743B6">
      <w:pPr>
        <w:pStyle w:val="5"/>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outlineLvl w:val="1"/>
        <w:rPr>
          <w:rStyle w:val="14"/>
          <w:rFonts w:hint="eastAsia" w:ascii="宋体" w:hAnsi="宋体" w:eastAsia="方正楷体_GBK" w:cs="方正楷体_GBK"/>
          <w:b w:val="0"/>
          <w:bCs/>
          <w:kern w:val="2"/>
          <w:sz w:val="32"/>
          <w:szCs w:val="32"/>
          <w:shd w:val="clear" w:color="auto" w:fill="FFFFFF"/>
          <w:lang w:val="en-US" w:eastAsia="zh-CN" w:bidi="ar-SA"/>
        </w:rPr>
      </w:pPr>
      <w:r>
        <w:rPr>
          <w:rStyle w:val="14"/>
          <w:rFonts w:hint="eastAsia" w:ascii="宋体" w:hAnsi="宋体" w:eastAsia="方正楷体_GBK" w:cs="方正楷体_GBK"/>
          <w:b w:val="0"/>
          <w:bCs/>
          <w:kern w:val="2"/>
          <w:sz w:val="32"/>
          <w:szCs w:val="32"/>
          <w:shd w:val="clear" w:color="auto" w:fill="FFFFFF"/>
          <w:lang w:val="en-US" w:eastAsia="zh-CN" w:bidi="ar-SA"/>
        </w:rPr>
        <w:t>（二）绩效自评结果</w:t>
      </w:r>
    </w:p>
    <w:p w14:paraId="486D1DC5">
      <w:pPr>
        <w:pStyle w:val="5"/>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3" w:firstLineChars="200"/>
        <w:jc w:val="left"/>
        <w:textAlignment w:val="auto"/>
        <w:rPr>
          <w:rFonts w:hint="eastAsia" w:ascii="宋体" w:hAnsi="宋体" w:eastAsia="方正仿宋_GBK" w:cs="方正仿宋_GBK"/>
          <w:b/>
          <w:bCs/>
          <w:color w:val="auto"/>
          <w:sz w:val="32"/>
          <w:lang w:val="en-US" w:eastAsia="zh-CN"/>
        </w:rPr>
      </w:pPr>
      <w:r>
        <w:rPr>
          <w:rFonts w:hint="eastAsia" w:ascii="宋体" w:hAnsi="宋体" w:eastAsia="方正仿宋_GBK" w:cs="方正仿宋_GBK"/>
          <w:b/>
          <w:bCs/>
          <w:color w:val="auto"/>
          <w:sz w:val="32"/>
          <w:lang w:val="en-US" w:eastAsia="zh-CN"/>
        </w:rPr>
        <w:t>1. 绩效目标自评表</w:t>
      </w:r>
    </w:p>
    <w:p w14:paraId="4AB5A609">
      <w:pPr>
        <w:pStyle w:val="9"/>
        <w:keepNext w:val="0"/>
        <w:keepLines w:val="0"/>
        <w:pageBreakBefore w:val="0"/>
        <w:tabs>
          <w:tab w:val="center" w:pos="4153"/>
          <w:tab w:val="left" w:pos="7275"/>
        </w:tabs>
        <w:kinsoku/>
        <w:wordWrap/>
        <w:overflowPunct/>
        <w:topLinePunct w:val="0"/>
        <w:autoSpaceDN/>
        <w:bidi w:val="0"/>
        <w:snapToGrid/>
        <w:spacing w:line="579" w:lineRule="exact"/>
        <w:ind w:firstLine="640"/>
        <w:textAlignment w:val="auto"/>
        <w:rPr>
          <w:rFonts w:hint="eastAsia" w:ascii="宋体" w:hAnsi="宋体" w:eastAsia="方正仿宋_GBK" w:cs="方正仿宋_GBK"/>
          <w:kern w:val="0"/>
          <w:sz w:val="32"/>
          <w:szCs w:val="32"/>
          <w:lang w:val="en-US" w:eastAsia="zh-CN" w:bidi="ar"/>
        </w:rPr>
      </w:pPr>
      <w:r>
        <w:rPr>
          <w:rFonts w:hint="eastAsia" w:ascii="宋体" w:hAnsi="宋体" w:eastAsia="方正仿宋_GBK" w:cs="方正仿宋_GBK"/>
          <w:color w:val="000000"/>
          <w:kern w:val="0"/>
          <w:sz w:val="32"/>
          <w:szCs w:val="32"/>
        </w:rPr>
        <w:t>（1）公开范围。</w:t>
      </w:r>
      <w:r>
        <w:rPr>
          <w:rFonts w:hint="eastAsia" w:ascii="宋体" w:hAnsi="宋体" w:eastAsia="方正仿宋_GBK" w:cs="方正仿宋_GBK"/>
          <w:kern w:val="0"/>
          <w:sz w:val="32"/>
          <w:szCs w:val="32"/>
          <w:lang w:val="en-US" w:eastAsia="zh-CN" w:bidi="ar"/>
        </w:rPr>
        <w:t>公开项目绩效自评表。</w:t>
      </w:r>
    </w:p>
    <w:p w14:paraId="2AE17395">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color w:val="000000"/>
          <w:kern w:val="0"/>
          <w:sz w:val="36"/>
          <w:szCs w:val="36"/>
          <w:lang w:val="en-US" w:eastAsia="zh-CN"/>
        </w:rPr>
      </w:pPr>
      <w:r>
        <w:rPr>
          <w:rFonts w:hint="eastAsia" w:ascii="宋体" w:hAnsi="宋体" w:eastAsia="方正仿宋_GBK" w:cs="方正仿宋_GBK"/>
          <w:kern w:val="0"/>
          <w:sz w:val="32"/>
          <w:szCs w:val="32"/>
        </w:rPr>
        <w:t>（2）公开内容。详见表格。</w:t>
      </w:r>
    </w:p>
    <w:p w14:paraId="4BB733E4">
      <w:pPr>
        <w:pStyle w:val="9"/>
        <w:keepNext w:val="0"/>
        <w:keepLines w:val="0"/>
        <w:pageBreakBefore w:val="0"/>
        <w:tabs>
          <w:tab w:val="center" w:pos="4153"/>
          <w:tab w:val="left" w:pos="7275"/>
        </w:tabs>
        <w:kinsoku/>
        <w:wordWrap/>
        <w:overflowPunct/>
        <w:topLinePunct w:val="0"/>
        <w:autoSpaceDN/>
        <w:bidi w:val="0"/>
        <w:snapToGrid/>
        <w:spacing w:line="579" w:lineRule="exact"/>
        <w:ind w:firstLine="0" w:firstLineChars="0"/>
        <w:jc w:val="center"/>
        <w:textAlignment w:val="auto"/>
        <w:rPr>
          <w:rFonts w:hint="eastAsia" w:ascii="方正黑体_GBK" w:hAnsi="方正黑体_GBK" w:eastAsia="方正黑体_GBK" w:cs="方正黑体_GBK"/>
          <w:b w:val="0"/>
          <w:bCs w:val="0"/>
          <w:color w:val="000000"/>
          <w:kern w:val="0"/>
          <w:sz w:val="36"/>
          <w:szCs w:val="36"/>
        </w:rPr>
      </w:pPr>
      <w:r>
        <w:rPr>
          <w:rFonts w:hint="eastAsia" w:ascii="方正黑体_GBK" w:hAnsi="方正黑体_GBK" w:eastAsia="方正黑体_GBK" w:cs="方正黑体_GBK"/>
          <w:b w:val="0"/>
          <w:bCs w:val="0"/>
          <w:color w:val="000000"/>
          <w:kern w:val="0"/>
          <w:sz w:val="36"/>
          <w:szCs w:val="36"/>
          <w:lang w:val="en-US" w:eastAsia="zh-CN"/>
        </w:rPr>
        <w:t>2024年度项目</w:t>
      </w:r>
      <w:r>
        <w:rPr>
          <w:rFonts w:hint="eastAsia" w:ascii="方正黑体_GBK" w:hAnsi="方正黑体_GBK" w:eastAsia="方正黑体_GBK" w:cs="方正黑体_GBK"/>
          <w:b w:val="0"/>
          <w:bCs w:val="0"/>
          <w:color w:val="000000"/>
          <w:kern w:val="0"/>
          <w:sz w:val="36"/>
          <w:szCs w:val="36"/>
        </w:rPr>
        <w:t>绩效自评表</w:t>
      </w:r>
    </w:p>
    <w:tbl>
      <w:tblPr>
        <w:tblStyle w:val="6"/>
        <w:tblW w:w="59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1982"/>
        <w:gridCol w:w="726"/>
        <w:gridCol w:w="806"/>
        <w:gridCol w:w="986"/>
        <w:gridCol w:w="761"/>
        <w:gridCol w:w="728"/>
        <w:gridCol w:w="974"/>
        <w:gridCol w:w="1186"/>
        <w:gridCol w:w="1054"/>
        <w:gridCol w:w="787"/>
      </w:tblGrid>
      <w:tr w14:paraId="77209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4" w:type="pct"/>
            <w:noWrap w:val="0"/>
            <w:vAlign w:val="center"/>
          </w:tcPr>
          <w:p w14:paraId="6DD4ED55">
            <w:pPr>
              <w:keepNext w:val="0"/>
              <w:keepLines w:val="0"/>
              <w:widowControl/>
              <w:suppressLineNumbers w:val="0"/>
              <w:snapToGrid w:val="0"/>
              <w:spacing w:line="40" w:lineRule="atLeast"/>
              <w:jc w:val="center"/>
              <w:textAlignment w:val="center"/>
              <w:rPr>
                <w:rFonts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项目</w:t>
            </w:r>
          </w:p>
        </w:tc>
        <w:tc>
          <w:tcPr>
            <w:tcW w:w="2097" w:type="pct"/>
            <w:gridSpan w:val="4"/>
            <w:vMerge w:val="restart"/>
            <w:noWrap w:val="0"/>
            <w:vAlign w:val="center"/>
          </w:tcPr>
          <w:p w14:paraId="5E4E2563">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交通执法办案经费</w:t>
            </w:r>
          </w:p>
        </w:tc>
        <w:tc>
          <w:tcPr>
            <w:tcW w:w="693" w:type="pct"/>
            <w:gridSpan w:val="2"/>
            <w:noWrap w:val="0"/>
            <w:vAlign w:val="center"/>
          </w:tcPr>
          <w:p w14:paraId="603D66D4">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自评总分</w:t>
            </w:r>
          </w:p>
        </w:tc>
        <w:tc>
          <w:tcPr>
            <w:tcW w:w="1864" w:type="pct"/>
            <w:gridSpan w:val="4"/>
            <w:vMerge w:val="restart"/>
            <w:noWrap w:val="0"/>
            <w:vAlign w:val="center"/>
          </w:tcPr>
          <w:p w14:paraId="7285DE7A">
            <w:pPr>
              <w:keepNext w:val="0"/>
              <w:keepLines w:val="0"/>
              <w:widowControl/>
              <w:suppressLineNumbers w:val="0"/>
              <w:snapToGrid w:val="0"/>
              <w:spacing w:line="40" w:lineRule="atLeas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100</w:t>
            </w:r>
          </w:p>
        </w:tc>
      </w:tr>
      <w:tr w14:paraId="128EC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4" w:type="pct"/>
            <w:noWrap w:val="0"/>
            <w:vAlign w:val="center"/>
          </w:tcPr>
          <w:p w14:paraId="342EB8B2">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名称</w:t>
            </w:r>
          </w:p>
        </w:tc>
        <w:tc>
          <w:tcPr>
            <w:tcW w:w="2097" w:type="pct"/>
            <w:gridSpan w:val="4"/>
            <w:vMerge w:val="continue"/>
            <w:noWrap w:val="0"/>
            <w:vAlign w:val="center"/>
          </w:tcPr>
          <w:p w14:paraId="572E4A00">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693" w:type="pct"/>
            <w:gridSpan w:val="2"/>
            <w:noWrap w:val="0"/>
            <w:vAlign w:val="center"/>
          </w:tcPr>
          <w:p w14:paraId="2FA2BE9D">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（分）</w:t>
            </w:r>
          </w:p>
        </w:tc>
        <w:tc>
          <w:tcPr>
            <w:tcW w:w="1864" w:type="pct"/>
            <w:gridSpan w:val="4"/>
            <w:vMerge w:val="continue"/>
            <w:noWrap w:val="0"/>
            <w:vAlign w:val="center"/>
          </w:tcPr>
          <w:p w14:paraId="42066154">
            <w:pPr>
              <w:snapToGrid w:val="0"/>
              <w:spacing w:line="40" w:lineRule="atLeast"/>
              <w:jc w:val="both"/>
              <w:rPr>
                <w:rFonts w:hint="eastAsia" w:ascii="方正仿宋_GBK" w:hAnsi="方正仿宋_GBK" w:eastAsia="方正仿宋_GBK" w:cs="方正仿宋_GBK"/>
                <w:i w:val="0"/>
                <w:iCs w:val="0"/>
                <w:color w:val="000000"/>
                <w:sz w:val="24"/>
                <w:szCs w:val="24"/>
                <w:u w:val="none"/>
              </w:rPr>
            </w:pPr>
          </w:p>
        </w:tc>
      </w:tr>
      <w:tr w14:paraId="0B9AF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344" w:type="pct"/>
            <w:noWrap w:val="0"/>
            <w:vAlign w:val="center"/>
          </w:tcPr>
          <w:p w14:paraId="395756F8">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项目</w:t>
            </w:r>
          </w:p>
          <w:p w14:paraId="40E2A00B">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主管</w:t>
            </w:r>
          </w:p>
          <w:p w14:paraId="057F5657">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部门</w:t>
            </w:r>
          </w:p>
        </w:tc>
        <w:tc>
          <w:tcPr>
            <w:tcW w:w="1262" w:type="pct"/>
            <w:gridSpan w:val="2"/>
            <w:noWrap w:val="0"/>
            <w:vAlign w:val="center"/>
          </w:tcPr>
          <w:p w14:paraId="56A9CD60">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重庆市江津区交通运输委员会</w:t>
            </w:r>
          </w:p>
        </w:tc>
        <w:tc>
          <w:tcPr>
            <w:tcW w:w="375" w:type="pct"/>
            <w:noWrap w:val="0"/>
            <w:vAlign w:val="center"/>
          </w:tcPr>
          <w:p w14:paraId="31F790DD">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财政归口科室</w:t>
            </w:r>
          </w:p>
        </w:tc>
        <w:tc>
          <w:tcPr>
            <w:tcW w:w="459" w:type="pct"/>
            <w:noWrap w:val="0"/>
            <w:vAlign w:val="center"/>
          </w:tcPr>
          <w:p w14:paraId="494C6EDE">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经济建设科</w:t>
            </w:r>
          </w:p>
        </w:tc>
        <w:tc>
          <w:tcPr>
            <w:tcW w:w="693" w:type="pct"/>
            <w:gridSpan w:val="2"/>
            <w:noWrap w:val="0"/>
            <w:vAlign w:val="center"/>
          </w:tcPr>
          <w:p w14:paraId="3C708EF4">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部门</w:t>
            </w:r>
          </w:p>
          <w:p w14:paraId="2A3F6244">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联系人</w:t>
            </w:r>
          </w:p>
        </w:tc>
        <w:tc>
          <w:tcPr>
            <w:tcW w:w="453" w:type="pct"/>
            <w:noWrap w:val="0"/>
            <w:vAlign w:val="center"/>
          </w:tcPr>
          <w:p w14:paraId="575D28CA">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何继豪</w:t>
            </w:r>
          </w:p>
        </w:tc>
        <w:tc>
          <w:tcPr>
            <w:tcW w:w="552" w:type="pct"/>
            <w:noWrap w:val="0"/>
            <w:vAlign w:val="center"/>
          </w:tcPr>
          <w:p w14:paraId="59A9AD0E">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联系电话</w:t>
            </w:r>
          </w:p>
        </w:tc>
        <w:tc>
          <w:tcPr>
            <w:tcW w:w="857" w:type="pct"/>
            <w:gridSpan w:val="2"/>
            <w:noWrap w:val="0"/>
            <w:vAlign w:val="center"/>
          </w:tcPr>
          <w:p w14:paraId="68BEA1F3">
            <w:pPr>
              <w:keepNext w:val="0"/>
              <w:keepLines w:val="0"/>
              <w:widowControl/>
              <w:suppressLineNumbers w:val="0"/>
              <w:snapToGrid w:val="0"/>
              <w:spacing w:line="40" w:lineRule="atLeast"/>
              <w:jc w:val="both"/>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023-47528397</w:t>
            </w:r>
          </w:p>
        </w:tc>
      </w:tr>
      <w:tr w14:paraId="05627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4" w:type="pct"/>
            <w:vMerge w:val="restart"/>
            <w:noWrap w:val="0"/>
            <w:textDirection w:val="tbRlV"/>
            <w:vAlign w:val="center"/>
          </w:tcPr>
          <w:p w14:paraId="5CA57F3F">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项目资金（万元）</w:t>
            </w:r>
          </w:p>
        </w:tc>
        <w:tc>
          <w:tcPr>
            <w:tcW w:w="1262" w:type="pct"/>
            <w:gridSpan w:val="2"/>
            <w:vMerge w:val="restart"/>
            <w:noWrap w:val="0"/>
            <w:vAlign w:val="center"/>
          </w:tcPr>
          <w:p w14:paraId="4D9827A7">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年度总金额</w:t>
            </w:r>
          </w:p>
        </w:tc>
        <w:tc>
          <w:tcPr>
            <w:tcW w:w="375" w:type="pct"/>
            <w:noWrap w:val="0"/>
            <w:vAlign w:val="center"/>
          </w:tcPr>
          <w:p w14:paraId="234FB80B">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年初预算数</w:t>
            </w:r>
          </w:p>
        </w:tc>
        <w:tc>
          <w:tcPr>
            <w:tcW w:w="459" w:type="pct"/>
            <w:noWrap w:val="0"/>
            <w:vAlign w:val="center"/>
          </w:tcPr>
          <w:p w14:paraId="5406A7F5">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全年（调整）预算数</w:t>
            </w:r>
          </w:p>
        </w:tc>
        <w:tc>
          <w:tcPr>
            <w:tcW w:w="1147" w:type="pct"/>
            <w:gridSpan w:val="3"/>
            <w:noWrap w:val="0"/>
            <w:vAlign w:val="center"/>
          </w:tcPr>
          <w:p w14:paraId="3A0063C3">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全年执行数</w:t>
            </w:r>
          </w:p>
        </w:tc>
        <w:tc>
          <w:tcPr>
            <w:tcW w:w="552" w:type="pct"/>
            <w:noWrap w:val="0"/>
            <w:vAlign w:val="center"/>
          </w:tcPr>
          <w:p w14:paraId="01B81599">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执行率</w:t>
            </w:r>
          </w:p>
          <w:p w14:paraId="62576183">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w:t>
            </w: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491" w:type="pct"/>
            <w:noWrap w:val="0"/>
            <w:vAlign w:val="center"/>
          </w:tcPr>
          <w:p w14:paraId="5DB03CE0">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执行率</w:t>
            </w:r>
          </w:p>
          <w:p w14:paraId="78C90E8E">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权重</w:t>
            </w:r>
          </w:p>
        </w:tc>
        <w:tc>
          <w:tcPr>
            <w:tcW w:w="366" w:type="pct"/>
            <w:noWrap w:val="0"/>
            <w:vAlign w:val="center"/>
          </w:tcPr>
          <w:p w14:paraId="2355D236">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执行率</w:t>
            </w:r>
          </w:p>
          <w:p w14:paraId="3CCF04D2">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得分</w:t>
            </w:r>
          </w:p>
          <w:p w14:paraId="4045BDDD">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（分）</w:t>
            </w:r>
          </w:p>
        </w:tc>
      </w:tr>
      <w:tr w14:paraId="54570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4" w:type="pct"/>
            <w:vMerge w:val="continue"/>
            <w:noWrap w:val="0"/>
            <w:textDirection w:val="tbRlV"/>
            <w:vAlign w:val="center"/>
          </w:tcPr>
          <w:p w14:paraId="7E8DF144">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1262" w:type="pct"/>
            <w:gridSpan w:val="2"/>
            <w:vMerge w:val="continue"/>
            <w:noWrap w:val="0"/>
            <w:vAlign w:val="center"/>
          </w:tcPr>
          <w:p w14:paraId="5FBACA77">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375" w:type="pct"/>
            <w:noWrap w:val="0"/>
            <w:vAlign w:val="center"/>
          </w:tcPr>
          <w:p w14:paraId="0A1A8C4B">
            <w:pPr>
              <w:keepNext w:val="0"/>
              <w:keepLines w:val="0"/>
              <w:widowControl/>
              <w:suppressLineNumbers w:val="0"/>
              <w:snapToGrid w:val="0"/>
              <w:spacing w:line="40" w:lineRule="atLeast"/>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27.15</w:t>
            </w:r>
          </w:p>
        </w:tc>
        <w:tc>
          <w:tcPr>
            <w:tcW w:w="459" w:type="pct"/>
            <w:noWrap w:val="0"/>
            <w:vAlign w:val="center"/>
          </w:tcPr>
          <w:p w14:paraId="472C29E6">
            <w:pPr>
              <w:keepNext w:val="0"/>
              <w:keepLines w:val="0"/>
              <w:widowControl/>
              <w:suppressLineNumbers w:val="0"/>
              <w:snapToGrid w:val="0"/>
              <w:spacing w:line="40" w:lineRule="atLeast"/>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27.15</w:t>
            </w:r>
          </w:p>
        </w:tc>
        <w:tc>
          <w:tcPr>
            <w:tcW w:w="1147" w:type="pct"/>
            <w:gridSpan w:val="3"/>
            <w:noWrap w:val="0"/>
            <w:vAlign w:val="center"/>
          </w:tcPr>
          <w:p w14:paraId="13110F99">
            <w:pPr>
              <w:keepNext w:val="0"/>
              <w:keepLines w:val="0"/>
              <w:widowControl/>
              <w:suppressLineNumbers w:val="0"/>
              <w:snapToGrid w:val="0"/>
              <w:spacing w:line="40" w:lineRule="atLeast"/>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27.15</w:t>
            </w:r>
          </w:p>
        </w:tc>
        <w:tc>
          <w:tcPr>
            <w:tcW w:w="552" w:type="pct"/>
            <w:noWrap w:val="0"/>
            <w:vAlign w:val="center"/>
          </w:tcPr>
          <w:p w14:paraId="1266BA47">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100</w:t>
            </w:r>
          </w:p>
        </w:tc>
        <w:tc>
          <w:tcPr>
            <w:tcW w:w="491" w:type="pct"/>
            <w:noWrap w:val="0"/>
            <w:vAlign w:val="center"/>
          </w:tcPr>
          <w:p w14:paraId="7361D13F">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w:t>
            </w:r>
          </w:p>
        </w:tc>
        <w:tc>
          <w:tcPr>
            <w:tcW w:w="366" w:type="pct"/>
            <w:noWrap w:val="0"/>
            <w:vAlign w:val="center"/>
          </w:tcPr>
          <w:p w14:paraId="02D8CA77">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w:t>
            </w:r>
          </w:p>
        </w:tc>
      </w:tr>
      <w:tr w14:paraId="000D9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4" w:type="pct"/>
            <w:vMerge w:val="continue"/>
            <w:noWrap w:val="0"/>
            <w:textDirection w:val="tbRlV"/>
            <w:vAlign w:val="center"/>
          </w:tcPr>
          <w:p w14:paraId="11541D1F">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1262" w:type="pct"/>
            <w:gridSpan w:val="2"/>
            <w:noWrap w:val="0"/>
            <w:vAlign w:val="center"/>
          </w:tcPr>
          <w:p w14:paraId="15700F3A">
            <w:pPr>
              <w:keepNext w:val="0"/>
              <w:keepLines w:val="0"/>
              <w:widowControl/>
              <w:suppressLineNumbers w:val="0"/>
              <w:snapToGrid w:val="0"/>
              <w:spacing w:line="40" w:lineRule="atLeas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其中：</w:t>
            </w:r>
          </w:p>
        </w:tc>
        <w:tc>
          <w:tcPr>
            <w:tcW w:w="375" w:type="pct"/>
            <w:vMerge w:val="restart"/>
            <w:noWrap w:val="0"/>
            <w:vAlign w:val="center"/>
          </w:tcPr>
          <w:p w14:paraId="16F3D64B">
            <w:pPr>
              <w:keepNext w:val="0"/>
              <w:keepLines w:val="0"/>
              <w:widowControl/>
              <w:suppressLineNumbers w:val="0"/>
              <w:snapToGrid w:val="0"/>
              <w:spacing w:line="40" w:lineRule="atLeast"/>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27.15</w:t>
            </w:r>
          </w:p>
        </w:tc>
        <w:tc>
          <w:tcPr>
            <w:tcW w:w="459" w:type="pct"/>
            <w:vMerge w:val="restart"/>
            <w:noWrap w:val="0"/>
            <w:vAlign w:val="center"/>
          </w:tcPr>
          <w:p w14:paraId="624E7B68">
            <w:pPr>
              <w:keepNext w:val="0"/>
              <w:keepLines w:val="0"/>
              <w:widowControl/>
              <w:suppressLineNumbers w:val="0"/>
              <w:snapToGrid w:val="0"/>
              <w:spacing w:line="40" w:lineRule="atLeast"/>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27.15</w:t>
            </w:r>
          </w:p>
        </w:tc>
        <w:tc>
          <w:tcPr>
            <w:tcW w:w="1147" w:type="pct"/>
            <w:gridSpan w:val="3"/>
            <w:vMerge w:val="restart"/>
            <w:noWrap w:val="0"/>
            <w:vAlign w:val="center"/>
          </w:tcPr>
          <w:p w14:paraId="28DB9ADA">
            <w:pPr>
              <w:keepNext w:val="0"/>
              <w:keepLines w:val="0"/>
              <w:widowControl/>
              <w:suppressLineNumbers w:val="0"/>
              <w:snapToGrid w:val="0"/>
              <w:spacing w:line="40" w:lineRule="atLeast"/>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27.15</w:t>
            </w:r>
          </w:p>
        </w:tc>
        <w:tc>
          <w:tcPr>
            <w:tcW w:w="552" w:type="pct"/>
            <w:vMerge w:val="restart"/>
            <w:noWrap w:val="0"/>
            <w:vAlign w:val="center"/>
          </w:tcPr>
          <w:p w14:paraId="34621A3C">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100</w:t>
            </w:r>
          </w:p>
        </w:tc>
        <w:tc>
          <w:tcPr>
            <w:tcW w:w="491" w:type="pct"/>
            <w:vMerge w:val="restart"/>
            <w:noWrap w:val="0"/>
            <w:vAlign w:val="center"/>
          </w:tcPr>
          <w:p w14:paraId="2C9D1DEB">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p>
        </w:tc>
        <w:tc>
          <w:tcPr>
            <w:tcW w:w="366" w:type="pct"/>
            <w:vMerge w:val="restart"/>
            <w:noWrap w:val="0"/>
            <w:vAlign w:val="center"/>
          </w:tcPr>
          <w:p w14:paraId="1BE7709C">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p>
        </w:tc>
      </w:tr>
      <w:tr w14:paraId="7475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4" w:type="pct"/>
            <w:vMerge w:val="continue"/>
            <w:noWrap w:val="0"/>
            <w:textDirection w:val="tbRlV"/>
            <w:vAlign w:val="center"/>
          </w:tcPr>
          <w:p w14:paraId="2B46D6FA">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1262" w:type="pct"/>
            <w:gridSpan w:val="2"/>
            <w:noWrap w:val="0"/>
            <w:vAlign w:val="center"/>
          </w:tcPr>
          <w:p w14:paraId="739E19A8">
            <w:pPr>
              <w:keepNext w:val="0"/>
              <w:keepLines w:val="0"/>
              <w:widowControl/>
              <w:suppressLineNumbers w:val="0"/>
              <w:snapToGrid w:val="0"/>
              <w:spacing w:line="40" w:lineRule="atLeas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财政拨款</w:t>
            </w:r>
          </w:p>
        </w:tc>
        <w:tc>
          <w:tcPr>
            <w:tcW w:w="375" w:type="pct"/>
            <w:vMerge w:val="continue"/>
            <w:noWrap w:val="0"/>
            <w:vAlign w:val="center"/>
          </w:tcPr>
          <w:p w14:paraId="2757BE5C">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459" w:type="pct"/>
            <w:vMerge w:val="continue"/>
            <w:noWrap w:val="0"/>
            <w:vAlign w:val="center"/>
          </w:tcPr>
          <w:p w14:paraId="2C3C116D">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1147" w:type="pct"/>
            <w:gridSpan w:val="3"/>
            <w:vMerge w:val="continue"/>
            <w:noWrap w:val="0"/>
            <w:vAlign w:val="center"/>
          </w:tcPr>
          <w:p w14:paraId="451ED891">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552" w:type="pct"/>
            <w:vMerge w:val="continue"/>
            <w:noWrap w:val="0"/>
            <w:vAlign w:val="center"/>
          </w:tcPr>
          <w:p w14:paraId="0564D322">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491" w:type="pct"/>
            <w:vMerge w:val="continue"/>
            <w:noWrap w:val="0"/>
            <w:vAlign w:val="center"/>
          </w:tcPr>
          <w:p w14:paraId="5C32EAE8">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366" w:type="pct"/>
            <w:vMerge w:val="continue"/>
            <w:noWrap w:val="0"/>
            <w:vAlign w:val="center"/>
          </w:tcPr>
          <w:p w14:paraId="14537C13">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r>
      <w:tr w14:paraId="4E0CB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4" w:type="pct"/>
            <w:vMerge w:val="restart"/>
            <w:noWrap w:val="0"/>
            <w:vAlign w:val="center"/>
          </w:tcPr>
          <w:p w14:paraId="6EAD4876">
            <w:pPr>
              <w:keepNext w:val="0"/>
              <w:keepLines w:val="0"/>
              <w:widowControl/>
              <w:suppressLineNumbers w:val="0"/>
              <w:snapToGrid w:val="0"/>
              <w:spacing w:line="40" w:lineRule="atLeast"/>
              <w:jc w:val="both"/>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当年</w:t>
            </w:r>
          </w:p>
          <w:p w14:paraId="1E9EC521">
            <w:pPr>
              <w:keepNext w:val="0"/>
              <w:keepLines w:val="0"/>
              <w:widowControl/>
              <w:suppressLineNumbers w:val="0"/>
              <w:snapToGrid w:val="0"/>
              <w:spacing w:line="40" w:lineRule="atLeast"/>
              <w:jc w:val="both"/>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绩效</w:t>
            </w:r>
          </w:p>
          <w:p w14:paraId="6C48C3BE">
            <w:pPr>
              <w:keepNext w:val="0"/>
              <w:keepLines w:val="0"/>
              <w:widowControl/>
              <w:suppressLineNumbers w:val="0"/>
              <w:snapToGrid w:val="0"/>
              <w:spacing w:line="40" w:lineRule="atLeas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目标</w:t>
            </w:r>
          </w:p>
        </w:tc>
        <w:tc>
          <w:tcPr>
            <w:tcW w:w="2097" w:type="pct"/>
            <w:gridSpan w:val="4"/>
            <w:noWrap w:val="0"/>
            <w:vAlign w:val="center"/>
          </w:tcPr>
          <w:p w14:paraId="0B9D78DC">
            <w:pPr>
              <w:keepNext w:val="0"/>
              <w:keepLines w:val="0"/>
              <w:widowControl/>
              <w:suppressLineNumbers w:val="0"/>
              <w:snapToGrid w:val="0"/>
              <w:spacing w:line="40" w:lineRule="atLeas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年初绩效目标</w:t>
            </w:r>
          </w:p>
        </w:tc>
        <w:tc>
          <w:tcPr>
            <w:tcW w:w="1147" w:type="pct"/>
            <w:gridSpan w:val="3"/>
            <w:noWrap w:val="0"/>
            <w:vAlign w:val="center"/>
          </w:tcPr>
          <w:p w14:paraId="5CFCCDD3">
            <w:pPr>
              <w:keepNext w:val="0"/>
              <w:keepLines w:val="0"/>
              <w:widowControl/>
              <w:suppressLineNumbers w:val="0"/>
              <w:snapToGrid w:val="0"/>
              <w:spacing w:line="40" w:lineRule="atLeas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全年（调整）绩效目标</w:t>
            </w:r>
          </w:p>
        </w:tc>
        <w:tc>
          <w:tcPr>
            <w:tcW w:w="1410" w:type="pct"/>
            <w:gridSpan w:val="3"/>
            <w:noWrap w:val="0"/>
            <w:vAlign w:val="center"/>
          </w:tcPr>
          <w:p w14:paraId="0F1998BB">
            <w:pPr>
              <w:keepNext w:val="0"/>
              <w:keepLines w:val="0"/>
              <w:widowControl/>
              <w:suppressLineNumbers w:val="0"/>
              <w:snapToGrid w:val="0"/>
              <w:spacing w:line="40" w:lineRule="atLeast"/>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全年目标实际完成情况</w:t>
            </w:r>
          </w:p>
        </w:tc>
      </w:tr>
      <w:tr w14:paraId="215C5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jc w:val="center"/>
        </w:trPr>
        <w:tc>
          <w:tcPr>
            <w:tcW w:w="344" w:type="pct"/>
            <w:vMerge w:val="continue"/>
            <w:noWrap w:val="0"/>
            <w:vAlign w:val="center"/>
          </w:tcPr>
          <w:p w14:paraId="2885FB40">
            <w:pPr>
              <w:snapToGrid w:val="0"/>
              <w:spacing w:line="40" w:lineRule="atLeast"/>
              <w:jc w:val="both"/>
              <w:rPr>
                <w:rFonts w:hint="eastAsia" w:ascii="方正仿宋_GBK" w:hAnsi="方正仿宋_GBK" w:eastAsia="方正仿宋_GBK" w:cs="方正仿宋_GBK"/>
                <w:i w:val="0"/>
                <w:iCs w:val="0"/>
                <w:color w:val="000000"/>
                <w:sz w:val="24"/>
                <w:szCs w:val="24"/>
                <w:u w:val="none"/>
              </w:rPr>
            </w:pPr>
          </w:p>
        </w:tc>
        <w:tc>
          <w:tcPr>
            <w:tcW w:w="2097" w:type="pct"/>
            <w:gridSpan w:val="4"/>
            <w:noWrap w:val="0"/>
            <w:vAlign w:val="center"/>
          </w:tcPr>
          <w:p w14:paraId="59011534">
            <w:pPr>
              <w:bidi w:val="0"/>
              <w:snapToGrid w:val="0"/>
              <w:spacing w:line="40" w:lineRule="atLeast"/>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sz w:val="24"/>
                <w:szCs w:val="24"/>
                <w:lang w:val="en-US" w:eastAsia="zh-CN"/>
              </w:rPr>
              <w:t>以“四基四化”减少为主线，实现交通行政执法“规范化”，充实交通运政执法力量，保障道路运输市场的安全稳定，加大路检路查、安全监管力度，确保全区道路运输行业的安全稳定。</w:t>
            </w:r>
          </w:p>
        </w:tc>
        <w:tc>
          <w:tcPr>
            <w:tcW w:w="1147" w:type="pct"/>
            <w:gridSpan w:val="3"/>
            <w:noWrap w:val="0"/>
            <w:vAlign w:val="center"/>
          </w:tcPr>
          <w:p w14:paraId="2A36DE01">
            <w:pPr>
              <w:snapToGrid w:val="0"/>
              <w:spacing w:line="40" w:lineRule="atLeast"/>
              <w:jc w:val="both"/>
              <w:rPr>
                <w:rFonts w:hint="eastAsia" w:ascii="方正仿宋_GBK" w:hAnsi="方正仿宋_GBK" w:eastAsia="方正仿宋_GBK" w:cs="方正仿宋_GBK"/>
                <w:i w:val="0"/>
                <w:iCs w:val="0"/>
                <w:color w:val="000000"/>
                <w:sz w:val="24"/>
                <w:szCs w:val="24"/>
                <w:u w:val="none"/>
              </w:rPr>
            </w:pPr>
          </w:p>
        </w:tc>
        <w:tc>
          <w:tcPr>
            <w:tcW w:w="1410" w:type="pct"/>
            <w:gridSpan w:val="3"/>
            <w:noWrap w:val="0"/>
            <w:vAlign w:val="center"/>
          </w:tcPr>
          <w:p w14:paraId="3A65847C">
            <w:pPr>
              <w:bidi w:val="0"/>
              <w:snapToGrid w:val="0"/>
              <w:spacing w:line="40" w:lineRule="atLeast"/>
              <w:rPr>
                <w:rFonts w:hint="eastAsia" w:ascii="Times New Roman" w:hAnsi="Times New Roman" w:eastAsia="方正仿宋_GBK" w:cs="Times New Roman"/>
                <w:sz w:val="24"/>
              </w:rPr>
            </w:pPr>
            <w:r>
              <w:rPr>
                <w:rFonts w:hint="eastAsia" w:eastAsia="方正仿宋_GBK" w:cs="Times New Roman"/>
                <w:sz w:val="24"/>
                <w:lang w:val="en-US" w:eastAsia="zh-CN"/>
              </w:rPr>
              <w:t>充分利用购置的执法装备，加强了执法力量，加大力度开展了路检路查、安全监管、打击非法营运等，保障了交通运输市场秩序。</w:t>
            </w:r>
          </w:p>
        </w:tc>
      </w:tr>
      <w:tr w14:paraId="3B1EA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344" w:type="pct"/>
            <w:vMerge w:val="restart"/>
            <w:noWrap w:val="0"/>
            <w:vAlign w:val="center"/>
          </w:tcPr>
          <w:p w14:paraId="677C6454">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绩效</w:t>
            </w:r>
          </w:p>
          <w:p w14:paraId="19DF3236">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指标</w:t>
            </w:r>
          </w:p>
        </w:tc>
        <w:tc>
          <w:tcPr>
            <w:tcW w:w="923" w:type="pct"/>
            <w:noWrap w:val="0"/>
            <w:vAlign w:val="center"/>
          </w:tcPr>
          <w:p w14:paraId="091B8AB8">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指标</w:t>
            </w:r>
          </w:p>
          <w:p w14:paraId="24D3330C">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名称</w:t>
            </w:r>
          </w:p>
        </w:tc>
        <w:tc>
          <w:tcPr>
            <w:tcW w:w="338" w:type="pct"/>
            <w:noWrap w:val="0"/>
            <w:vAlign w:val="center"/>
          </w:tcPr>
          <w:p w14:paraId="22993A2A">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计量</w:t>
            </w:r>
          </w:p>
          <w:p w14:paraId="711BD8C9">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单位</w:t>
            </w:r>
          </w:p>
        </w:tc>
        <w:tc>
          <w:tcPr>
            <w:tcW w:w="375" w:type="pct"/>
            <w:noWrap w:val="0"/>
            <w:vAlign w:val="center"/>
          </w:tcPr>
          <w:p w14:paraId="4F55D414">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指标</w:t>
            </w:r>
          </w:p>
          <w:p w14:paraId="2B0EE061">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性质</w:t>
            </w:r>
          </w:p>
        </w:tc>
        <w:tc>
          <w:tcPr>
            <w:tcW w:w="459" w:type="pct"/>
            <w:noWrap w:val="0"/>
            <w:vAlign w:val="center"/>
          </w:tcPr>
          <w:p w14:paraId="65299DB3">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指标</w:t>
            </w:r>
          </w:p>
          <w:p w14:paraId="76AB329E">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值</w:t>
            </w:r>
          </w:p>
        </w:tc>
        <w:tc>
          <w:tcPr>
            <w:tcW w:w="354" w:type="pct"/>
            <w:noWrap w:val="0"/>
            <w:vAlign w:val="center"/>
          </w:tcPr>
          <w:p w14:paraId="5978EDB0">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全年</w:t>
            </w:r>
          </w:p>
          <w:p w14:paraId="44E92E8B">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完成值</w:t>
            </w:r>
          </w:p>
        </w:tc>
        <w:tc>
          <w:tcPr>
            <w:tcW w:w="339" w:type="pct"/>
            <w:noWrap w:val="0"/>
            <w:vAlign w:val="center"/>
          </w:tcPr>
          <w:p w14:paraId="48920874">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偏离度（</w:t>
            </w:r>
            <w:r>
              <w:rPr>
                <w:rFonts w:hint="eastAsia" w:ascii="宋体" w:hAnsi="宋体" w:eastAsia="宋体" w:cs="宋体"/>
                <w:i w:val="0"/>
                <w:iCs w:val="0"/>
                <w:color w:val="000000"/>
                <w:kern w:val="0"/>
                <w:sz w:val="24"/>
                <w:szCs w:val="24"/>
                <w:u w:val="none"/>
                <w:lang w:val="en-US" w:eastAsia="zh-CN" w:bidi="ar"/>
              </w:rPr>
              <w:t>%</w:t>
            </w: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453" w:type="pct"/>
            <w:noWrap w:val="0"/>
            <w:vAlign w:val="center"/>
          </w:tcPr>
          <w:p w14:paraId="221F0E22">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得分</w:t>
            </w:r>
          </w:p>
          <w:p w14:paraId="777B13DD">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系数</w:t>
            </w:r>
          </w:p>
          <w:p w14:paraId="649E81ED">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w:t>
            </w: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552" w:type="pct"/>
            <w:noWrap w:val="0"/>
            <w:vAlign w:val="center"/>
          </w:tcPr>
          <w:p w14:paraId="012038B9">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指标</w:t>
            </w:r>
          </w:p>
          <w:p w14:paraId="5716C9E3">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权重</w:t>
            </w:r>
          </w:p>
          <w:p w14:paraId="138A5F6F">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（分）</w:t>
            </w:r>
          </w:p>
        </w:tc>
        <w:tc>
          <w:tcPr>
            <w:tcW w:w="491" w:type="pct"/>
            <w:noWrap w:val="0"/>
            <w:vAlign w:val="center"/>
          </w:tcPr>
          <w:p w14:paraId="03131594">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指标</w:t>
            </w:r>
          </w:p>
          <w:p w14:paraId="67632337">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得分</w:t>
            </w:r>
          </w:p>
          <w:p w14:paraId="75DE7DA3">
            <w:pPr>
              <w:snapToGrid w:val="0"/>
              <w:spacing w:line="40" w:lineRule="atLeast"/>
              <w:jc w:val="center"/>
              <w:rPr>
                <w:rFonts w:hint="eastAsia" w:ascii="宋体" w:hAnsi="宋体" w:eastAsia="宋体" w:cs="宋体"/>
                <w:i w:val="0"/>
                <w:iCs w:val="0"/>
                <w:color w:val="000000"/>
                <w:sz w:val="22"/>
                <w:szCs w:val="22"/>
                <w:u w:val="none"/>
              </w:rPr>
            </w:pPr>
            <w:r>
              <w:rPr>
                <w:rFonts w:hint="eastAsia" w:ascii="方正仿宋_GBK" w:hAnsi="方正仿宋_GBK" w:eastAsia="方正仿宋_GBK" w:cs="方正仿宋_GBK"/>
                <w:i w:val="0"/>
                <w:iCs w:val="0"/>
                <w:color w:val="000000"/>
                <w:kern w:val="0"/>
                <w:sz w:val="24"/>
                <w:szCs w:val="24"/>
                <w:u w:val="none"/>
                <w:lang w:val="en-US" w:eastAsia="zh-CN" w:bidi="ar"/>
              </w:rPr>
              <w:t>（分）</w:t>
            </w:r>
          </w:p>
        </w:tc>
        <w:tc>
          <w:tcPr>
            <w:tcW w:w="366" w:type="pct"/>
            <w:noWrap w:val="0"/>
            <w:vAlign w:val="center"/>
          </w:tcPr>
          <w:p w14:paraId="020638CF">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说明</w:t>
            </w:r>
          </w:p>
        </w:tc>
      </w:tr>
      <w:tr w14:paraId="42ACD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4" w:type="pct"/>
            <w:vMerge w:val="continue"/>
            <w:noWrap w:val="0"/>
            <w:vAlign w:val="center"/>
          </w:tcPr>
          <w:p w14:paraId="2F122200">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923" w:type="pct"/>
            <w:noWrap w:val="0"/>
            <w:vAlign w:val="center"/>
          </w:tcPr>
          <w:p w14:paraId="6294A2C8">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案件办结率</w:t>
            </w:r>
          </w:p>
        </w:tc>
        <w:tc>
          <w:tcPr>
            <w:tcW w:w="338" w:type="pct"/>
            <w:noWrap w:val="0"/>
            <w:vAlign w:val="center"/>
          </w:tcPr>
          <w:p w14:paraId="13EBB601">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375" w:type="pct"/>
            <w:noWrap w:val="0"/>
            <w:vAlign w:val="center"/>
          </w:tcPr>
          <w:p w14:paraId="37FD8AA5">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459" w:type="pct"/>
            <w:noWrap/>
            <w:vAlign w:val="center"/>
          </w:tcPr>
          <w:p w14:paraId="50A58614">
            <w:pPr>
              <w:snapToGrid w:val="0"/>
              <w:spacing w:line="40" w:lineRule="atLeast"/>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80</w:t>
            </w:r>
          </w:p>
        </w:tc>
        <w:tc>
          <w:tcPr>
            <w:tcW w:w="354" w:type="pct"/>
            <w:noWrap/>
            <w:vAlign w:val="center"/>
          </w:tcPr>
          <w:p w14:paraId="236AC6CE">
            <w:pPr>
              <w:snapToGrid w:val="0"/>
              <w:spacing w:line="40" w:lineRule="atLeast"/>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80</w:t>
            </w:r>
          </w:p>
        </w:tc>
        <w:tc>
          <w:tcPr>
            <w:tcW w:w="339" w:type="pct"/>
            <w:noWrap w:val="0"/>
            <w:vAlign w:val="center"/>
          </w:tcPr>
          <w:p w14:paraId="7AAAF4E2">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0</w:t>
            </w:r>
          </w:p>
        </w:tc>
        <w:tc>
          <w:tcPr>
            <w:tcW w:w="453" w:type="pct"/>
            <w:noWrap w:val="0"/>
            <w:vAlign w:val="center"/>
          </w:tcPr>
          <w:p w14:paraId="309E6D9D">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100</w:t>
            </w:r>
          </w:p>
        </w:tc>
        <w:tc>
          <w:tcPr>
            <w:tcW w:w="552" w:type="pct"/>
            <w:noWrap w:val="0"/>
            <w:vAlign w:val="center"/>
          </w:tcPr>
          <w:p w14:paraId="34E3415B">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25</w:t>
            </w:r>
          </w:p>
        </w:tc>
        <w:tc>
          <w:tcPr>
            <w:tcW w:w="491" w:type="pct"/>
            <w:noWrap w:val="0"/>
            <w:vAlign w:val="center"/>
          </w:tcPr>
          <w:p w14:paraId="4AE37519">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25</w:t>
            </w:r>
          </w:p>
        </w:tc>
        <w:tc>
          <w:tcPr>
            <w:tcW w:w="366" w:type="pct"/>
            <w:noWrap w:val="0"/>
            <w:vAlign w:val="center"/>
          </w:tcPr>
          <w:p w14:paraId="29B99424">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p>
        </w:tc>
      </w:tr>
      <w:tr w14:paraId="10D95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344" w:type="pct"/>
            <w:vMerge w:val="continue"/>
            <w:noWrap w:val="0"/>
            <w:vAlign w:val="center"/>
          </w:tcPr>
          <w:p w14:paraId="35F87905">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923" w:type="pct"/>
            <w:noWrap w:val="0"/>
            <w:vAlign w:val="center"/>
          </w:tcPr>
          <w:p w14:paraId="6E8D677F">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错误率</w:t>
            </w:r>
          </w:p>
        </w:tc>
        <w:tc>
          <w:tcPr>
            <w:tcW w:w="338" w:type="pct"/>
            <w:noWrap w:val="0"/>
            <w:vAlign w:val="center"/>
          </w:tcPr>
          <w:p w14:paraId="4F46453B">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375" w:type="pct"/>
            <w:noWrap w:val="0"/>
            <w:vAlign w:val="center"/>
          </w:tcPr>
          <w:p w14:paraId="6E547785">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459" w:type="pct"/>
            <w:noWrap/>
            <w:vAlign w:val="center"/>
          </w:tcPr>
          <w:p w14:paraId="63FE4DA1">
            <w:pPr>
              <w:snapToGrid w:val="0"/>
              <w:spacing w:line="40" w:lineRule="atLeast"/>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w:t>
            </w:r>
          </w:p>
        </w:tc>
        <w:tc>
          <w:tcPr>
            <w:tcW w:w="354" w:type="pct"/>
            <w:noWrap/>
            <w:vAlign w:val="center"/>
          </w:tcPr>
          <w:p w14:paraId="6C771621">
            <w:pPr>
              <w:snapToGrid w:val="0"/>
              <w:spacing w:line="40" w:lineRule="atLeast"/>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339" w:type="pct"/>
            <w:noWrap w:val="0"/>
            <w:vAlign w:val="center"/>
          </w:tcPr>
          <w:p w14:paraId="0B1B1FDE">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20</w:t>
            </w:r>
          </w:p>
        </w:tc>
        <w:tc>
          <w:tcPr>
            <w:tcW w:w="453" w:type="pct"/>
            <w:noWrap w:val="0"/>
            <w:vAlign w:val="center"/>
          </w:tcPr>
          <w:p w14:paraId="230736A3">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100</w:t>
            </w:r>
          </w:p>
        </w:tc>
        <w:tc>
          <w:tcPr>
            <w:tcW w:w="552" w:type="pct"/>
            <w:noWrap w:val="0"/>
            <w:vAlign w:val="center"/>
          </w:tcPr>
          <w:p w14:paraId="71E9DF4C">
            <w:pPr>
              <w:keepNext w:val="0"/>
              <w:keepLines w:val="0"/>
              <w:widowControl/>
              <w:suppressLineNumbers w:val="0"/>
              <w:snapToGrid w:val="0"/>
              <w:spacing w:line="40" w:lineRule="atLeast"/>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25</w:t>
            </w:r>
          </w:p>
        </w:tc>
        <w:tc>
          <w:tcPr>
            <w:tcW w:w="491" w:type="pct"/>
            <w:noWrap w:val="0"/>
            <w:vAlign w:val="center"/>
          </w:tcPr>
          <w:p w14:paraId="7BDDA84D">
            <w:pPr>
              <w:keepNext w:val="0"/>
              <w:keepLines w:val="0"/>
              <w:widowControl/>
              <w:suppressLineNumbers w:val="0"/>
              <w:snapToGrid w:val="0"/>
              <w:spacing w:line="40" w:lineRule="atLeast"/>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25</w:t>
            </w:r>
          </w:p>
        </w:tc>
        <w:tc>
          <w:tcPr>
            <w:tcW w:w="366" w:type="pct"/>
            <w:noWrap w:val="0"/>
            <w:vAlign w:val="center"/>
          </w:tcPr>
          <w:p w14:paraId="239E6D3B">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r>
      <w:tr w14:paraId="4C7E0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4" w:type="pct"/>
            <w:vMerge w:val="continue"/>
            <w:noWrap w:val="0"/>
            <w:vAlign w:val="center"/>
          </w:tcPr>
          <w:p w14:paraId="7E0BDDB2">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923" w:type="pct"/>
            <w:noWrap w:val="0"/>
            <w:vAlign w:val="center"/>
          </w:tcPr>
          <w:p w14:paraId="377C47E9">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罚款缴纳到位率</w:t>
            </w:r>
          </w:p>
        </w:tc>
        <w:tc>
          <w:tcPr>
            <w:tcW w:w="338" w:type="pct"/>
            <w:noWrap w:val="0"/>
            <w:vAlign w:val="center"/>
          </w:tcPr>
          <w:p w14:paraId="59342CE4">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375" w:type="pct"/>
            <w:noWrap w:val="0"/>
            <w:vAlign w:val="center"/>
          </w:tcPr>
          <w:p w14:paraId="5997D8B1">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459" w:type="pct"/>
            <w:noWrap/>
            <w:vAlign w:val="center"/>
          </w:tcPr>
          <w:p w14:paraId="3A897A92">
            <w:pPr>
              <w:snapToGrid w:val="0"/>
              <w:spacing w:line="40" w:lineRule="atLeas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354" w:type="pct"/>
            <w:noWrap/>
            <w:vAlign w:val="center"/>
          </w:tcPr>
          <w:p w14:paraId="3B72D566">
            <w:pPr>
              <w:snapToGrid w:val="0"/>
              <w:spacing w:line="40" w:lineRule="atLeas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r>
              <w:rPr>
                <w:rFonts w:hint="eastAsia" w:ascii="宋体" w:hAnsi="宋体" w:cs="宋体"/>
                <w:i w:val="0"/>
                <w:iCs w:val="0"/>
                <w:color w:val="000000"/>
                <w:kern w:val="0"/>
                <w:sz w:val="22"/>
                <w:szCs w:val="22"/>
                <w:u w:val="none"/>
                <w:lang w:val="en-US" w:eastAsia="zh-CN" w:bidi="ar"/>
              </w:rPr>
              <w:t>5</w:t>
            </w:r>
          </w:p>
        </w:tc>
        <w:tc>
          <w:tcPr>
            <w:tcW w:w="339" w:type="pct"/>
            <w:noWrap w:val="0"/>
            <w:vAlign w:val="center"/>
          </w:tcPr>
          <w:p w14:paraId="3BAB09A9">
            <w:pPr>
              <w:keepNext w:val="0"/>
              <w:keepLines w:val="0"/>
              <w:widowControl/>
              <w:suppressLineNumbers w:val="0"/>
              <w:snapToGrid w:val="0"/>
              <w:spacing w:line="40" w:lineRule="atLeast"/>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6.25</w:t>
            </w:r>
          </w:p>
        </w:tc>
        <w:tc>
          <w:tcPr>
            <w:tcW w:w="453" w:type="pct"/>
            <w:noWrap w:val="0"/>
            <w:vAlign w:val="center"/>
          </w:tcPr>
          <w:p w14:paraId="20C107D6">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100</w:t>
            </w:r>
          </w:p>
        </w:tc>
        <w:tc>
          <w:tcPr>
            <w:tcW w:w="552" w:type="pct"/>
            <w:noWrap w:val="0"/>
            <w:vAlign w:val="center"/>
          </w:tcPr>
          <w:p w14:paraId="53F3A968">
            <w:pPr>
              <w:keepNext w:val="0"/>
              <w:keepLines w:val="0"/>
              <w:widowControl/>
              <w:suppressLineNumbers w:val="0"/>
              <w:snapToGrid w:val="0"/>
              <w:spacing w:line="40" w:lineRule="atLeast"/>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20</w:t>
            </w:r>
          </w:p>
        </w:tc>
        <w:tc>
          <w:tcPr>
            <w:tcW w:w="491" w:type="pct"/>
            <w:noWrap w:val="0"/>
            <w:vAlign w:val="center"/>
          </w:tcPr>
          <w:p w14:paraId="2928376A">
            <w:pPr>
              <w:keepNext w:val="0"/>
              <w:keepLines w:val="0"/>
              <w:widowControl/>
              <w:suppressLineNumbers w:val="0"/>
              <w:snapToGrid w:val="0"/>
              <w:spacing w:line="40" w:lineRule="atLeast"/>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20</w:t>
            </w:r>
          </w:p>
        </w:tc>
        <w:tc>
          <w:tcPr>
            <w:tcW w:w="366" w:type="pct"/>
            <w:noWrap w:val="0"/>
            <w:vAlign w:val="center"/>
          </w:tcPr>
          <w:p w14:paraId="70335928">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r>
      <w:tr w14:paraId="54CCE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4" w:type="pct"/>
            <w:vMerge w:val="continue"/>
            <w:noWrap w:val="0"/>
            <w:vAlign w:val="center"/>
          </w:tcPr>
          <w:p w14:paraId="7697711C">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c>
          <w:tcPr>
            <w:tcW w:w="923" w:type="pct"/>
            <w:noWrap w:val="0"/>
            <w:vAlign w:val="center"/>
          </w:tcPr>
          <w:p w14:paraId="67E36B4C">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执法人员专业水平提升度</w:t>
            </w:r>
          </w:p>
        </w:tc>
        <w:tc>
          <w:tcPr>
            <w:tcW w:w="338" w:type="pct"/>
            <w:noWrap w:val="0"/>
            <w:vAlign w:val="center"/>
          </w:tcPr>
          <w:p w14:paraId="13900FF9">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375" w:type="pct"/>
            <w:noWrap w:val="0"/>
            <w:vAlign w:val="center"/>
          </w:tcPr>
          <w:p w14:paraId="1281E278">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w:t>
            </w:r>
          </w:p>
        </w:tc>
        <w:tc>
          <w:tcPr>
            <w:tcW w:w="459" w:type="pct"/>
            <w:noWrap/>
            <w:vAlign w:val="center"/>
          </w:tcPr>
          <w:p w14:paraId="2ADC0323">
            <w:pPr>
              <w:snapToGrid w:val="0"/>
              <w:spacing w:line="40" w:lineRule="atLeast"/>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80</w:t>
            </w:r>
          </w:p>
        </w:tc>
        <w:tc>
          <w:tcPr>
            <w:tcW w:w="354" w:type="pct"/>
            <w:noWrap/>
            <w:vAlign w:val="center"/>
          </w:tcPr>
          <w:p w14:paraId="38E20EAF">
            <w:pPr>
              <w:snapToGrid w:val="0"/>
              <w:spacing w:line="40" w:lineRule="atLeast"/>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80</w:t>
            </w:r>
          </w:p>
        </w:tc>
        <w:tc>
          <w:tcPr>
            <w:tcW w:w="339" w:type="pct"/>
            <w:noWrap w:val="0"/>
            <w:vAlign w:val="center"/>
          </w:tcPr>
          <w:p w14:paraId="45BE667C">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0</w:t>
            </w:r>
          </w:p>
        </w:tc>
        <w:tc>
          <w:tcPr>
            <w:tcW w:w="453" w:type="pct"/>
            <w:noWrap w:val="0"/>
            <w:vAlign w:val="center"/>
          </w:tcPr>
          <w:p w14:paraId="59044D15">
            <w:pPr>
              <w:keepNext w:val="0"/>
              <w:keepLines w:val="0"/>
              <w:widowControl/>
              <w:suppressLineNumbers w:val="0"/>
              <w:snapToGrid w:val="0"/>
              <w:spacing w:line="40" w:lineRule="atLeast"/>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100</w:t>
            </w:r>
          </w:p>
        </w:tc>
        <w:tc>
          <w:tcPr>
            <w:tcW w:w="552" w:type="pct"/>
            <w:noWrap w:val="0"/>
            <w:vAlign w:val="center"/>
          </w:tcPr>
          <w:p w14:paraId="3C8A8323">
            <w:pPr>
              <w:keepNext w:val="0"/>
              <w:keepLines w:val="0"/>
              <w:widowControl/>
              <w:suppressLineNumbers w:val="0"/>
              <w:snapToGrid w:val="0"/>
              <w:spacing w:line="40" w:lineRule="atLeast"/>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20</w:t>
            </w:r>
          </w:p>
        </w:tc>
        <w:tc>
          <w:tcPr>
            <w:tcW w:w="491" w:type="pct"/>
            <w:noWrap w:val="0"/>
            <w:vAlign w:val="center"/>
          </w:tcPr>
          <w:p w14:paraId="615A6F90">
            <w:pPr>
              <w:keepNext w:val="0"/>
              <w:keepLines w:val="0"/>
              <w:widowControl/>
              <w:suppressLineNumbers w:val="0"/>
              <w:snapToGrid w:val="0"/>
              <w:spacing w:line="40" w:lineRule="atLeast"/>
              <w:jc w:val="center"/>
              <w:textAlignment w:val="center"/>
              <w:rPr>
                <w:rFonts w:hint="default" w:ascii="方正仿宋_GBK" w:hAnsi="方正仿宋_GBK" w:eastAsia="方正仿宋_GBK" w:cs="方正仿宋_GBK"/>
                <w:i w:val="0"/>
                <w:iCs w:val="0"/>
                <w:color w:val="000000"/>
                <w:sz w:val="24"/>
                <w:szCs w:val="24"/>
                <w:u w:val="none"/>
                <w:lang w:val="en-US"/>
              </w:rPr>
            </w:pPr>
            <w:r>
              <w:rPr>
                <w:rFonts w:hint="eastAsia" w:ascii="方正仿宋_GBK" w:hAnsi="方正仿宋_GBK" w:eastAsia="方正仿宋_GBK" w:cs="方正仿宋_GBK"/>
                <w:i w:val="0"/>
                <w:iCs w:val="0"/>
                <w:color w:val="000000"/>
                <w:kern w:val="0"/>
                <w:sz w:val="24"/>
                <w:szCs w:val="24"/>
                <w:u w:val="none"/>
                <w:lang w:val="en-US" w:eastAsia="zh-CN" w:bidi="ar"/>
              </w:rPr>
              <w:t>20</w:t>
            </w:r>
          </w:p>
        </w:tc>
        <w:tc>
          <w:tcPr>
            <w:tcW w:w="366" w:type="pct"/>
            <w:noWrap w:val="0"/>
            <w:vAlign w:val="center"/>
          </w:tcPr>
          <w:p w14:paraId="74BC7818">
            <w:pPr>
              <w:snapToGrid w:val="0"/>
              <w:spacing w:line="40" w:lineRule="atLeast"/>
              <w:jc w:val="center"/>
              <w:rPr>
                <w:rFonts w:hint="eastAsia" w:ascii="方正仿宋_GBK" w:hAnsi="方正仿宋_GBK" w:eastAsia="方正仿宋_GBK" w:cs="方正仿宋_GBK"/>
                <w:i w:val="0"/>
                <w:iCs w:val="0"/>
                <w:color w:val="000000"/>
                <w:sz w:val="24"/>
                <w:szCs w:val="24"/>
                <w:u w:val="none"/>
              </w:rPr>
            </w:pPr>
          </w:p>
        </w:tc>
      </w:tr>
    </w:tbl>
    <w:p w14:paraId="082FFA1B">
      <w:pPr>
        <w:pStyle w:val="9"/>
        <w:keepNext w:val="0"/>
        <w:keepLines w:val="0"/>
        <w:pageBreakBefore w:val="0"/>
        <w:widowControl w:val="0"/>
        <w:numPr>
          <w:ilvl w:val="0"/>
          <w:numId w:val="7"/>
        </w:numPr>
        <w:tabs>
          <w:tab w:val="center" w:pos="4153"/>
          <w:tab w:val="left" w:pos="7275"/>
        </w:tabs>
        <w:kinsoku/>
        <w:wordWrap/>
        <w:overflowPunct/>
        <w:topLinePunct w:val="0"/>
        <w:autoSpaceDE/>
        <w:autoSpaceDN/>
        <w:bidi w:val="0"/>
        <w:adjustRightInd/>
        <w:snapToGrid/>
        <w:spacing w:line="579" w:lineRule="exact"/>
        <w:ind w:left="0" w:leftChars="0" w:firstLine="643" w:firstLineChars="200"/>
        <w:textAlignment w:val="auto"/>
        <w:rPr>
          <w:rFonts w:hint="eastAsia" w:ascii="宋体" w:hAnsi="宋体" w:eastAsia="方正仿宋_GBK" w:cs="方正仿宋_GBK"/>
          <w:b/>
          <w:bCs w:val="0"/>
          <w:kern w:val="0"/>
          <w:sz w:val="32"/>
          <w:szCs w:val="32"/>
        </w:rPr>
      </w:pPr>
      <w:r>
        <w:rPr>
          <w:rFonts w:hint="eastAsia" w:ascii="宋体" w:hAnsi="宋体" w:eastAsia="方正仿宋_GBK" w:cs="方正仿宋_GBK"/>
          <w:b/>
          <w:bCs w:val="0"/>
          <w:kern w:val="0"/>
          <w:sz w:val="32"/>
          <w:szCs w:val="32"/>
        </w:rPr>
        <w:t>绩效自评报告或案例</w:t>
      </w:r>
    </w:p>
    <w:p w14:paraId="44F32FF6">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kern w:val="0"/>
          <w:sz w:val="32"/>
          <w:szCs w:val="32"/>
          <w:lang w:eastAsia="zh-CN"/>
        </w:rPr>
      </w:pPr>
      <w:r>
        <w:rPr>
          <w:rFonts w:hint="eastAsia" w:ascii="宋体" w:hAnsi="宋体" w:eastAsia="方正仿宋_GBK" w:cs="方正仿宋_GBK"/>
          <w:kern w:val="0"/>
          <w:sz w:val="32"/>
          <w:szCs w:val="32"/>
          <w:lang w:val="en-US" w:eastAsia="zh-CN"/>
        </w:rPr>
        <w:t>本单位无此事项。</w:t>
      </w:r>
    </w:p>
    <w:p w14:paraId="2011D49C">
      <w:pPr>
        <w:pStyle w:val="9"/>
        <w:keepNext w:val="0"/>
        <w:keepLines w:val="0"/>
        <w:pageBreakBefore w:val="0"/>
        <w:widowControl w:val="0"/>
        <w:numPr>
          <w:ilvl w:val="0"/>
          <w:numId w:val="7"/>
        </w:numPr>
        <w:tabs>
          <w:tab w:val="center" w:pos="4153"/>
          <w:tab w:val="left" w:pos="7275"/>
        </w:tabs>
        <w:kinsoku/>
        <w:wordWrap/>
        <w:overflowPunct/>
        <w:topLinePunct w:val="0"/>
        <w:autoSpaceDE/>
        <w:autoSpaceDN/>
        <w:bidi w:val="0"/>
        <w:adjustRightInd/>
        <w:snapToGrid/>
        <w:spacing w:line="579" w:lineRule="exact"/>
        <w:ind w:left="0" w:leftChars="0" w:firstLine="643" w:firstLineChars="200"/>
        <w:textAlignment w:val="auto"/>
        <w:rPr>
          <w:rFonts w:hint="eastAsia" w:ascii="宋体" w:hAnsi="宋体" w:eastAsia="方正仿宋_GBK" w:cs="方正仿宋_GBK"/>
          <w:b/>
          <w:bCs/>
          <w:color w:val="000000"/>
          <w:kern w:val="0"/>
          <w:sz w:val="32"/>
          <w:szCs w:val="32"/>
        </w:rPr>
      </w:pPr>
      <w:r>
        <w:rPr>
          <w:rFonts w:hint="eastAsia" w:ascii="宋体" w:hAnsi="宋体" w:eastAsia="方正仿宋_GBK" w:cs="方正仿宋_GBK"/>
          <w:b/>
          <w:bCs/>
          <w:color w:val="000000"/>
          <w:kern w:val="0"/>
          <w:sz w:val="32"/>
          <w:szCs w:val="32"/>
        </w:rPr>
        <w:t>关于绩效自评结果的说明</w:t>
      </w:r>
    </w:p>
    <w:p w14:paraId="1AB64152">
      <w:pPr>
        <w:pStyle w:val="9"/>
        <w:tabs>
          <w:tab w:val="center" w:pos="4153"/>
          <w:tab w:val="left" w:pos="7275"/>
        </w:tabs>
        <w:spacing w:line="600" w:lineRule="exact"/>
        <w:ind w:firstLine="640"/>
        <w:rPr>
          <w:rFonts w:hint="default" w:ascii="Times New Roman" w:hAnsi="Times New Roman" w:eastAsia="方正仿宋_GBK" w:cs="宋体"/>
          <w:color w:val="auto"/>
          <w:kern w:val="0"/>
          <w:sz w:val="32"/>
          <w:szCs w:val="32"/>
          <w:highlight w:val="none"/>
          <w:lang w:val="en-US" w:eastAsia="zh-CN"/>
        </w:rPr>
      </w:pPr>
      <w:r>
        <w:rPr>
          <w:rFonts w:hint="eastAsia" w:eastAsia="方正仿宋_GBK" w:cs="宋体"/>
          <w:color w:val="auto"/>
          <w:kern w:val="0"/>
          <w:sz w:val="32"/>
          <w:szCs w:val="32"/>
          <w:highlight w:val="none"/>
          <w:lang w:val="en-US" w:eastAsia="zh-CN"/>
        </w:rPr>
        <w:t>我单位已对财政年度2024年的11个项目完成绩效自评，执行率均为100%。</w:t>
      </w:r>
    </w:p>
    <w:p w14:paraId="3C14769A">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1"/>
        <w:rPr>
          <w:rFonts w:hint="eastAsia" w:ascii="宋体" w:hAnsi="宋体" w:eastAsia="方正楷体_GBK" w:cs="方正楷体_GBK"/>
          <w:color w:val="333333"/>
          <w:sz w:val="32"/>
          <w:szCs w:val="32"/>
        </w:rPr>
      </w:pPr>
      <w:r>
        <w:rPr>
          <w:rFonts w:hint="eastAsia" w:ascii="宋体" w:hAnsi="宋体" w:eastAsia="方正楷体_GBK" w:cs="方正楷体_GBK"/>
          <w:color w:val="333333"/>
          <w:sz w:val="32"/>
          <w:szCs w:val="32"/>
        </w:rPr>
        <w:t>（三）重点绩效评价结果</w:t>
      </w:r>
    </w:p>
    <w:p w14:paraId="72127268">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kern w:val="0"/>
          <w:sz w:val="32"/>
          <w:szCs w:val="32"/>
          <w:lang w:eastAsia="zh-CN"/>
        </w:rPr>
      </w:pPr>
      <w:r>
        <w:rPr>
          <w:rFonts w:hint="eastAsia" w:ascii="宋体" w:hAnsi="宋体" w:eastAsia="方正仿宋_GBK" w:cs="方正仿宋_GBK"/>
          <w:kern w:val="0"/>
          <w:sz w:val="32"/>
          <w:szCs w:val="32"/>
          <w:lang w:val="en-US" w:eastAsia="zh-CN"/>
        </w:rPr>
        <w:t>本单位无此事项。</w:t>
      </w:r>
    </w:p>
    <w:p w14:paraId="45CC2B4A">
      <w:pPr>
        <w:pStyle w:val="9"/>
        <w:keepNext w:val="0"/>
        <w:keepLines w:val="0"/>
        <w:pageBreakBefore w:val="0"/>
        <w:widowControl w:val="0"/>
        <w:numPr>
          <w:ilvl w:val="0"/>
          <w:numId w:val="8"/>
        </w:numPr>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专业名词解释</w:t>
      </w:r>
    </w:p>
    <w:p w14:paraId="60A5C8F4">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（一）财政拨款收入：指本年度从本级财政部门取得的财政拨款，包括一般公共预算财政拨款和政府性基金预算财政拨款。</w:t>
      </w:r>
    </w:p>
    <w:p w14:paraId="3CB5D70C">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（二）事业收入：指事业单位开展专业业务活动及其辅助活动取得的现金流入；事业单位收到的财政专户实际核拨的教育收费等资金在此反映。</w:t>
      </w:r>
    </w:p>
    <w:p w14:paraId="33D4936F">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三</w:t>
      </w:r>
      <w:r>
        <w:rPr>
          <w:rFonts w:hint="eastAsia" w:ascii="宋体" w:hAnsi="宋体" w:eastAsia="方正仿宋_GBK" w:cs="方正仿宋_GBK"/>
          <w:sz w:val="32"/>
          <w:szCs w:val="32"/>
        </w:rPr>
        <w:t>）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6782BF58">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四</w:t>
      </w:r>
      <w:r>
        <w:rPr>
          <w:rFonts w:hint="eastAsia" w:ascii="宋体" w:hAnsi="宋体" w:eastAsia="方正仿宋_GBK" w:cs="方正仿宋_GBK"/>
          <w:sz w:val="32"/>
          <w:szCs w:val="32"/>
        </w:rPr>
        <w:t>）使用非财政拨款结余：指单位在当年的“财政拨款收入”、“事业收入”、“经营收入”、“其他收入”等不足以安排当年支出的情况下，使用以前年度积累的非财政拨款结余弥补本年度收支缺口的资金。</w:t>
      </w:r>
    </w:p>
    <w:p w14:paraId="39C069E9">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五</w:t>
      </w:r>
      <w:r>
        <w:rPr>
          <w:rFonts w:hint="eastAsia" w:ascii="宋体" w:hAnsi="宋体" w:eastAsia="方正仿宋_GBK" w:cs="方正仿宋_GBK"/>
          <w:sz w:val="32"/>
          <w:szCs w:val="32"/>
        </w:rPr>
        <w:t>）年初结转和结余：指单位上年结转本年使用的基本支出结转、项目支出结转和结余、经营结余。</w:t>
      </w:r>
    </w:p>
    <w:p w14:paraId="288C6A53">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六</w:t>
      </w:r>
      <w:r>
        <w:rPr>
          <w:rFonts w:hint="eastAsia" w:ascii="宋体" w:hAnsi="宋体" w:eastAsia="方正仿宋_GBK" w:cs="方正仿宋_GBK"/>
          <w:sz w:val="32"/>
          <w:szCs w:val="32"/>
        </w:rPr>
        <w:t>）结余分配：指单位按照国家有关规定，缴纳所得税、提取专用基金、转入非财政拨款结余等当年结余的分配情况。</w:t>
      </w:r>
    </w:p>
    <w:p w14:paraId="74112B5B">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七</w:t>
      </w:r>
      <w:r>
        <w:rPr>
          <w:rFonts w:hint="eastAsia" w:ascii="宋体" w:hAnsi="宋体" w:eastAsia="方正仿宋_GBK" w:cs="方正仿宋_GBK"/>
          <w:sz w:val="32"/>
          <w:szCs w:val="32"/>
        </w:rPr>
        <w:t>）年末结转和结余：指单位结转下年的基本支出结转、项目支出结转和结余、经营结余。</w:t>
      </w:r>
    </w:p>
    <w:p w14:paraId="0FDE2F86">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八</w:t>
      </w:r>
      <w:r>
        <w:rPr>
          <w:rFonts w:hint="eastAsia" w:ascii="宋体" w:hAnsi="宋体" w:eastAsia="方正仿宋_GBK" w:cs="方正仿宋_GBK"/>
          <w:sz w:val="32"/>
          <w:szCs w:val="32"/>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7091987F">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九</w:t>
      </w:r>
      <w:r>
        <w:rPr>
          <w:rFonts w:hint="eastAsia" w:ascii="宋体" w:hAnsi="宋体" w:eastAsia="方正仿宋_GBK" w:cs="方正仿宋_GBK"/>
          <w:sz w:val="32"/>
          <w:szCs w:val="32"/>
        </w:rPr>
        <w:t>）项目支出：指在基本支出之外为完成特定行政任务和事业发展目标所发生的支出。</w:t>
      </w:r>
    </w:p>
    <w:p w14:paraId="210BCC2B">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57BB1191">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一</w:t>
      </w:r>
      <w:r>
        <w:rPr>
          <w:rFonts w:hint="eastAsia" w:ascii="宋体" w:hAnsi="宋体" w:eastAsia="方正仿宋_GBK" w:cs="方正仿宋_GBK"/>
          <w:sz w:val="32"/>
          <w:szCs w:val="32"/>
        </w:rPr>
        <w:t>）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48CD6737">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二</w:t>
      </w:r>
      <w:r>
        <w:rPr>
          <w:rFonts w:hint="eastAsia" w:ascii="宋体" w:hAnsi="宋体" w:eastAsia="方正仿宋_GBK" w:cs="方正仿宋_GBK"/>
          <w:sz w:val="32"/>
          <w:szCs w:val="32"/>
        </w:rPr>
        <w:t>）工资福利支出（支出经济分类科目类级）：反映单位开支的在职职工和编制外长期聘用人员的各类劳动报酬，以及为上述人员缴纳的各项社会保险费等。</w:t>
      </w:r>
    </w:p>
    <w:p w14:paraId="0C7451B5">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三</w:t>
      </w:r>
      <w:r>
        <w:rPr>
          <w:rFonts w:hint="eastAsia" w:ascii="宋体" w:hAnsi="宋体" w:eastAsia="方正仿宋_GBK" w:cs="方正仿宋_GBK"/>
          <w:sz w:val="32"/>
          <w:szCs w:val="32"/>
        </w:rPr>
        <w:t>）商品和服务支出（支出经济分类科目类级）：反映单位购买商品和服务的支出（不包括用于购置固定资产的支出、战略性和应急储备支出）。</w:t>
      </w:r>
    </w:p>
    <w:p w14:paraId="568FD15F">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四</w:t>
      </w:r>
      <w:r>
        <w:rPr>
          <w:rFonts w:hint="eastAsia" w:ascii="宋体" w:hAnsi="宋体" w:eastAsia="方正仿宋_GBK" w:cs="方正仿宋_GBK"/>
          <w:sz w:val="32"/>
          <w:szCs w:val="32"/>
        </w:rPr>
        <w:t>）对个人和家庭的补助（支出经济分类科目类级）：反映用于对个人和家庭的补助支出。</w:t>
      </w:r>
    </w:p>
    <w:p w14:paraId="1923E5DD">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五</w:t>
      </w:r>
      <w:r>
        <w:rPr>
          <w:rFonts w:hint="eastAsia" w:ascii="宋体" w:hAnsi="宋体" w:eastAsia="方正仿宋_GBK" w:cs="方正仿宋_GBK"/>
          <w:sz w:val="32"/>
          <w:szCs w:val="32"/>
        </w:rPr>
        <w:t>）其他资本性支出（支出经济分类科目类级）：反映非各级发展与改革部门集中安排的用于购置固定资产、战略性和应急性储备、土地和无形资产，以及构建基础设施、大型修缮和财政支持企业更新改造所发生的支出。</w:t>
      </w:r>
    </w:p>
    <w:p w14:paraId="68A14BB8">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七、决算公开联系方式</w:t>
      </w:r>
    </w:p>
    <w:p w14:paraId="3050D3F8">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本单位决算公开信息反馈和联系方式：</w:t>
      </w:r>
    </w:p>
    <w:p w14:paraId="052E0D3D">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eastAsia" w:ascii="宋体" w:hAnsi="宋体" w:eastAsia="方正仿宋_GBK" w:cs="方正仿宋_GBK"/>
          <w:sz w:val="32"/>
          <w:szCs w:val="32"/>
          <w:lang w:val="en-US"/>
        </w:rPr>
      </w:pPr>
      <w:r>
        <w:rPr>
          <w:rFonts w:hint="eastAsia" w:ascii="宋体" w:hAnsi="宋体" w:eastAsia="方正仿宋_GBK" w:cs="方正仿宋_GBK"/>
          <w:sz w:val="32"/>
          <w:szCs w:val="32"/>
          <w:lang w:val="en-US" w:eastAsia="zh-CN"/>
        </w:rPr>
        <w:t>联系人：曾雪莲</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联系电话：023-47535385</w:t>
      </w:r>
    </w:p>
    <w:sectPr>
      <w:footerReference r:id="rId3" w:type="default"/>
      <w:footerReference r:id="rId4" w:type="even"/>
      <w:pgSz w:w="11906" w:h="16838"/>
      <w:pgMar w:top="1587" w:right="1474" w:bottom="1474" w:left="1587" w:header="851" w:footer="1474"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FDFE06">
    <w:pPr>
      <w:pStyle w:val="3"/>
      <w:jc w:val="right"/>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12D7D">
    <w:pPr>
      <w:pStyle w:val="3"/>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2</w:t>
    </w:r>
    <w:r>
      <w:rPr>
        <w:rFonts w:ascii="Times New Roman" w:hAnsi="Times New Roman"/>
        <w:sz w:val="28"/>
        <w:szCs w:val="28"/>
      </w:rPr>
      <w:fldChar w:fldCharType="end"/>
    </w:r>
    <w:r>
      <w:rPr>
        <w:rFonts w:ascii="Times New Roman" w:hAnsi="Times New Roman"/>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15FB01"/>
    <w:multiLevelType w:val="singleLevel"/>
    <w:tmpl w:val="BE15FB01"/>
    <w:lvl w:ilvl="0" w:tentative="0">
      <w:start w:val="6"/>
      <w:numFmt w:val="chineseCounting"/>
      <w:suff w:val="nothing"/>
      <w:lvlText w:val="%1、"/>
      <w:lvlJc w:val="left"/>
      <w:rPr>
        <w:rFonts w:hint="eastAsia"/>
      </w:rPr>
    </w:lvl>
  </w:abstractNum>
  <w:abstractNum w:abstractNumId="1">
    <w:nsid w:val="BF018CFE"/>
    <w:multiLevelType w:val="singleLevel"/>
    <w:tmpl w:val="BF018CFE"/>
    <w:lvl w:ilvl="0" w:tentative="0">
      <w:start w:val="2"/>
      <w:numFmt w:val="chineseCounting"/>
      <w:suff w:val="nothing"/>
      <w:lvlText w:val="%1、"/>
      <w:lvlJc w:val="left"/>
      <w:rPr>
        <w:rFonts w:hint="eastAsia"/>
      </w:rPr>
    </w:lvl>
  </w:abstractNum>
  <w:abstractNum w:abstractNumId="2">
    <w:nsid w:val="C7DC43F0"/>
    <w:multiLevelType w:val="singleLevel"/>
    <w:tmpl w:val="C7DC43F0"/>
    <w:lvl w:ilvl="0" w:tentative="0">
      <w:start w:val="1"/>
      <w:numFmt w:val="decimal"/>
      <w:suff w:val="space"/>
      <w:lvlText w:val="%1."/>
      <w:lvlJc w:val="left"/>
    </w:lvl>
  </w:abstractNum>
  <w:abstractNum w:abstractNumId="3">
    <w:nsid w:val="FC092FFC"/>
    <w:multiLevelType w:val="singleLevel"/>
    <w:tmpl w:val="FC092FFC"/>
    <w:lvl w:ilvl="0" w:tentative="0">
      <w:start w:val="1"/>
      <w:numFmt w:val="decimal"/>
      <w:suff w:val="nothing"/>
      <w:lvlText w:val="（%1）"/>
      <w:lvlJc w:val="left"/>
    </w:lvl>
  </w:abstractNum>
  <w:abstractNum w:abstractNumId="4">
    <w:nsid w:val="170F8B3D"/>
    <w:multiLevelType w:val="singleLevel"/>
    <w:tmpl w:val="170F8B3D"/>
    <w:lvl w:ilvl="0" w:tentative="0">
      <w:start w:val="1"/>
      <w:numFmt w:val="decimal"/>
      <w:suff w:val="space"/>
      <w:lvlText w:val="%1."/>
      <w:lvlJc w:val="left"/>
    </w:lvl>
  </w:abstractNum>
  <w:abstractNum w:abstractNumId="5">
    <w:nsid w:val="36AF54E0"/>
    <w:multiLevelType w:val="singleLevel"/>
    <w:tmpl w:val="36AF54E0"/>
    <w:lvl w:ilvl="0" w:tentative="0">
      <w:start w:val="2"/>
      <w:numFmt w:val="decimal"/>
      <w:suff w:val="space"/>
      <w:lvlText w:val="%1."/>
      <w:lvlJc w:val="left"/>
    </w:lvl>
  </w:abstractNum>
  <w:abstractNum w:abstractNumId="6">
    <w:nsid w:val="6BB1AE55"/>
    <w:multiLevelType w:val="singleLevel"/>
    <w:tmpl w:val="6BB1AE55"/>
    <w:lvl w:ilvl="0" w:tentative="0">
      <w:start w:val="1"/>
      <w:numFmt w:val="chineseCounting"/>
      <w:suff w:val="nothing"/>
      <w:lvlText w:val="（%1）"/>
      <w:lvlJc w:val="left"/>
      <w:rPr>
        <w:rFonts w:hint="eastAsia"/>
      </w:rPr>
    </w:lvl>
  </w:abstractNum>
  <w:abstractNum w:abstractNumId="7">
    <w:nsid w:val="7FC6D37E"/>
    <w:multiLevelType w:val="singleLevel"/>
    <w:tmpl w:val="7FC6D37E"/>
    <w:lvl w:ilvl="0" w:tentative="0">
      <w:start w:val="2"/>
      <w:numFmt w:val="chineseCounting"/>
      <w:suff w:val="nothing"/>
      <w:lvlText w:val="（%1）"/>
      <w:lvlJc w:val="left"/>
      <w:rPr>
        <w:rFonts w:hint="eastAsia"/>
      </w:rPr>
    </w:lvl>
  </w:abstractNum>
  <w:num w:numId="1">
    <w:abstractNumId w:val="7"/>
  </w:num>
  <w:num w:numId="2">
    <w:abstractNumId w:val="1"/>
  </w:num>
  <w:num w:numId="3">
    <w:abstractNumId w:val="6"/>
  </w:num>
  <w:num w:numId="4">
    <w:abstractNumId w:val="4"/>
  </w:num>
  <w:num w:numId="5">
    <w:abstractNumId w:val="2"/>
  </w:num>
  <w:num w:numId="6">
    <w:abstractNumId w:val="3"/>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E12"/>
    <w:rsid w:val="0000051E"/>
    <w:rsid w:val="00001D33"/>
    <w:rsid w:val="000028C9"/>
    <w:rsid w:val="000155FC"/>
    <w:rsid w:val="000175BF"/>
    <w:rsid w:val="0001772A"/>
    <w:rsid w:val="00021540"/>
    <w:rsid w:val="00026535"/>
    <w:rsid w:val="00027CBA"/>
    <w:rsid w:val="00030BD4"/>
    <w:rsid w:val="0003485A"/>
    <w:rsid w:val="00034F55"/>
    <w:rsid w:val="000420EA"/>
    <w:rsid w:val="000427E2"/>
    <w:rsid w:val="00043D2E"/>
    <w:rsid w:val="00047C1B"/>
    <w:rsid w:val="00053EE9"/>
    <w:rsid w:val="00054D43"/>
    <w:rsid w:val="00054DCF"/>
    <w:rsid w:val="00054EB7"/>
    <w:rsid w:val="0005574C"/>
    <w:rsid w:val="0006070C"/>
    <w:rsid w:val="000639CF"/>
    <w:rsid w:val="00065200"/>
    <w:rsid w:val="00067A09"/>
    <w:rsid w:val="00073F65"/>
    <w:rsid w:val="000842FF"/>
    <w:rsid w:val="000A2CFA"/>
    <w:rsid w:val="000B27F1"/>
    <w:rsid w:val="000B3E51"/>
    <w:rsid w:val="000C15A3"/>
    <w:rsid w:val="000C7FE9"/>
    <w:rsid w:val="000D5121"/>
    <w:rsid w:val="000E0FCA"/>
    <w:rsid w:val="000E44AE"/>
    <w:rsid w:val="000E45ED"/>
    <w:rsid w:val="00100BE4"/>
    <w:rsid w:val="00102024"/>
    <w:rsid w:val="0011013E"/>
    <w:rsid w:val="0011190A"/>
    <w:rsid w:val="001136EF"/>
    <w:rsid w:val="00120138"/>
    <w:rsid w:val="00120AC5"/>
    <w:rsid w:val="001225CF"/>
    <w:rsid w:val="00122802"/>
    <w:rsid w:val="00122A47"/>
    <w:rsid w:val="00130AB7"/>
    <w:rsid w:val="001330DE"/>
    <w:rsid w:val="00134BAE"/>
    <w:rsid w:val="00141657"/>
    <w:rsid w:val="00141E8D"/>
    <w:rsid w:val="00146457"/>
    <w:rsid w:val="00147151"/>
    <w:rsid w:val="001570CA"/>
    <w:rsid w:val="001600A8"/>
    <w:rsid w:val="0016440F"/>
    <w:rsid w:val="00167113"/>
    <w:rsid w:val="00170AB6"/>
    <w:rsid w:val="001733C6"/>
    <w:rsid w:val="001760D0"/>
    <w:rsid w:val="00176E9E"/>
    <w:rsid w:val="00177282"/>
    <w:rsid w:val="0017754D"/>
    <w:rsid w:val="00177DDE"/>
    <w:rsid w:val="0018055E"/>
    <w:rsid w:val="0018417C"/>
    <w:rsid w:val="00186D29"/>
    <w:rsid w:val="00191922"/>
    <w:rsid w:val="00196B3B"/>
    <w:rsid w:val="001B4EBF"/>
    <w:rsid w:val="001D1F56"/>
    <w:rsid w:val="001D2188"/>
    <w:rsid w:val="001D2D97"/>
    <w:rsid w:val="001D39FC"/>
    <w:rsid w:val="001D469D"/>
    <w:rsid w:val="001D53A5"/>
    <w:rsid w:val="001E4338"/>
    <w:rsid w:val="001F35D7"/>
    <w:rsid w:val="001F6342"/>
    <w:rsid w:val="001F69D5"/>
    <w:rsid w:val="00203926"/>
    <w:rsid w:val="00206DF8"/>
    <w:rsid w:val="002074F7"/>
    <w:rsid w:val="002101FA"/>
    <w:rsid w:val="00213778"/>
    <w:rsid w:val="002148AC"/>
    <w:rsid w:val="00222B01"/>
    <w:rsid w:val="002247FE"/>
    <w:rsid w:val="00224B1E"/>
    <w:rsid w:val="00242193"/>
    <w:rsid w:val="00251D58"/>
    <w:rsid w:val="00252306"/>
    <w:rsid w:val="00255B14"/>
    <w:rsid w:val="00262C07"/>
    <w:rsid w:val="00271994"/>
    <w:rsid w:val="002726B1"/>
    <w:rsid w:val="00280812"/>
    <w:rsid w:val="002817B6"/>
    <w:rsid w:val="00283F54"/>
    <w:rsid w:val="00285CEF"/>
    <w:rsid w:val="00290EE3"/>
    <w:rsid w:val="002970E2"/>
    <w:rsid w:val="002A64DE"/>
    <w:rsid w:val="002B53DA"/>
    <w:rsid w:val="002B6DD1"/>
    <w:rsid w:val="002C1EC9"/>
    <w:rsid w:val="002C3116"/>
    <w:rsid w:val="002C7F37"/>
    <w:rsid w:val="002D0665"/>
    <w:rsid w:val="002D284A"/>
    <w:rsid w:val="002D60ED"/>
    <w:rsid w:val="002E2E5B"/>
    <w:rsid w:val="002F0CF5"/>
    <w:rsid w:val="002F5ADD"/>
    <w:rsid w:val="00302486"/>
    <w:rsid w:val="00314CB4"/>
    <w:rsid w:val="003178A1"/>
    <w:rsid w:val="00317958"/>
    <w:rsid w:val="003202F9"/>
    <w:rsid w:val="0032073C"/>
    <w:rsid w:val="00322ADF"/>
    <w:rsid w:val="00324B31"/>
    <w:rsid w:val="0033105A"/>
    <w:rsid w:val="00334EB0"/>
    <w:rsid w:val="0034207B"/>
    <w:rsid w:val="00344BF5"/>
    <w:rsid w:val="003450C0"/>
    <w:rsid w:val="00346494"/>
    <w:rsid w:val="00351DAC"/>
    <w:rsid w:val="00354334"/>
    <w:rsid w:val="00355F37"/>
    <w:rsid w:val="00362BC8"/>
    <w:rsid w:val="00363DA8"/>
    <w:rsid w:val="0036500E"/>
    <w:rsid w:val="00371DF3"/>
    <w:rsid w:val="0038006A"/>
    <w:rsid w:val="00391856"/>
    <w:rsid w:val="003961FF"/>
    <w:rsid w:val="00397B03"/>
    <w:rsid w:val="003B21E3"/>
    <w:rsid w:val="003B27FF"/>
    <w:rsid w:val="003B742A"/>
    <w:rsid w:val="003C12FB"/>
    <w:rsid w:val="003C40D4"/>
    <w:rsid w:val="003D081C"/>
    <w:rsid w:val="003D0BFF"/>
    <w:rsid w:val="003D6A6B"/>
    <w:rsid w:val="003F481B"/>
    <w:rsid w:val="003F48D1"/>
    <w:rsid w:val="00401C53"/>
    <w:rsid w:val="00404D9E"/>
    <w:rsid w:val="004135EA"/>
    <w:rsid w:val="00421B19"/>
    <w:rsid w:val="00422B0B"/>
    <w:rsid w:val="00422E47"/>
    <w:rsid w:val="00423211"/>
    <w:rsid w:val="004245F7"/>
    <w:rsid w:val="00426CE4"/>
    <w:rsid w:val="00426FEA"/>
    <w:rsid w:val="00431925"/>
    <w:rsid w:val="00432F81"/>
    <w:rsid w:val="00435247"/>
    <w:rsid w:val="004376FF"/>
    <w:rsid w:val="00441F50"/>
    <w:rsid w:val="004420F5"/>
    <w:rsid w:val="00446207"/>
    <w:rsid w:val="00460B50"/>
    <w:rsid w:val="00462A1B"/>
    <w:rsid w:val="0047102A"/>
    <w:rsid w:val="004767A0"/>
    <w:rsid w:val="00480634"/>
    <w:rsid w:val="00480DBB"/>
    <w:rsid w:val="0048149F"/>
    <w:rsid w:val="00490BD7"/>
    <w:rsid w:val="00492F86"/>
    <w:rsid w:val="00494936"/>
    <w:rsid w:val="004950DE"/>
    <w:rsid w:val="00495471"/>
    <w:rsid w:val="004A6381"/>
    <w:rsid w:val="004A7255"/>
    <w:rsid w:val="004B18A6"/>
    <w:rsid w:val="004B71FD"/>
    <w:rsid w:val="004B7C9D"/>
    <w:rsid w:val="004C041C"/>
    <w:rsid w:val="004C0428"/>
    <w:rsid w:val="004C1E46"/>
    <w:rsid w:val="004C2BBC"/>
    <w:rsid w:val="004D124F"/>
    <w:rsid w:val="004D20FC"/>
    <w:rsid w:val="004E451B"/>
    <w:rsid w:val="004E758F"/>
    <w:rsid w:val="004F0548"/>
    <w:rsid w:val="004F0AE7"/>
    <w:rsid w:val="004F4BAB"/>
    <w:rsid w:val="004F5255"/>
    <w:rsid w:val="00501E64"/>
    <w:rsid w:val="0050428A"/>
    <w:rsid w:val="0050454F"/>
    <w:rsid w:val="00505D0E"/>
    <w:rsid w:val="00533746"/>
    <w:rsid w:val="00546918"/>
    <w:rsid w:val="005507A2"/>
    <w:rsid w:val="00561338"/>
    <w:rsid w:val="00561975"/>
    <w:rsid w:val="00565117"/>
    <w:rsid w:val="0056679B"/>
    <w:rsid w:val="00573EC4"/>
    <w:rsid w:val="00583859"/>
    <w:rsid w:val="005901AA"/>
    <w:rsid w:val="005911E1"/>
    <w:rsid w:val="005A3116"/>
    <w:rsid w:val="005A5CCA"/>
    <w:rsid w:val="005A5FCF"/>
    <w:rsid w:val="005B100F"/>
    <w:rsid w:val="005B2D5D"/>
    <w:rsid w:val="005C38B2"/>
    <w:rsid w:val="005D16FF"/>
    <w:rsid w:val="005D2489"/>
    <w:rsid w:val="005D4003"/>
    <w:rsid w:val="005D4080"/>
    <w:rsid w:val="005D470C"/>
    <w:rsid w:val="005E1109"/>
    <w:rsid w:val="005E6EE3"/>
    <w:rsid w:val="005F0FF8"/>
    <w:rsid w:val="005F757D"/>
    <w:rsid w:val="00600C8F"/>
    <w:rsid w:val="00603082"/>
    <w:rsid w:val="00607E12"/>
    <w:rsid w:val="00611CA5"/>
    <w:rsid w:val="00620233"/>
    <w:rsid w:val="0062633A"/>
    <w:rsid w:val="00626848"/>
    <w:rsid w:val="0063222A"/>
    <w:rsid w:val="0063307E"/>
    <w:rsid w:val="00642C2A"/>
    <w:rsid w:val="006437B2"/>
    <w:rsid w:val="00664E32"/>
    <w:rsid w:val="0067039B"/>
    <w:rsid w:val="0068775B"/>
    <w:rsid w:val="00691CE0"/>
    <w:rsid w:val="00694365"/>
    <w:rsid w:val="006A2A65"/>
    <w:rsid w:val="006A566C"/>
    <w:rsid w:val="006A61DF"/>
    <w:rsid w:val="006B5DD7"/>
    <w:rsid w:val="006C1B21"/>
    <w:rsid w:val="006D014A"/>
    <w:rsid w:val="006D5786"/>
    <w:rsid w:val="006D6F59"/>
    <w:rsid w:val="006E1572"/>
    <w:rsid w:val="006E173D"/>
    <w:rsid w:val="006E538A"/>
    <w:rsid w:val="006F0EDC"/>
    <w:rsid w:val="006F3611"/>
    <w:rsid w:val="00701258"/>
    <w:rsid w:val="007036CD"/>
    <w:rsid w:val="00705A2B"/>
    <w:rsid w:val="00716862"/>
    <w:rsid w:val="007254E0"/>
    <w:rsid w:val="007278AE"/>
    <w:rsid w:val="00730852"/>
    <w:rsid w:val="00735715"/>
    <w:rsid w:val="00737BE2"/>
    <w:rsid w:val="00744FBD"/>
    <w:rsid w:val="007450D8"/>
    <w:rsid w:val="00755DA9"/>
    <w:rsid w:val="00755FDA"/>
    <w:rsid w:val="00757640"/>
    <w:rsid w:val="00761826"/>
    <w:rsid w:val="007654CC"/>
    <w:rsid w:val="00767D9E"/>
    <w:rsid w:val="00777274"/>
    <w:rsid w:val="00777FB0"/>
    <w:rsid w:val="0078049C"/>
    <w:rsid w:val="00784541"/>
    <w:rsid w:val="007874D6"/>
    <w:rsid w:val="007A3314"/>
    <w:rsid w:val="007A48F4"/>
    <w:rsid w:val="007A4C8D"/>
    <w:rsid w:val="007B0EC6"/>
    <w:rsid w:val="007B2F96"/>
    <w:rsid w:val="007C1250"/>
    <w:rsid w:val="007D00FC"/>
    <w:rsid w:val="007D0966"/>
    <w:rsid w:val="007D20F3"/>
    <w:rsid w:val="007D4338"/>
    <w:rsid w:val="007D6BFC"/>
    <w:rsid w:val="007D6CD1"/>
    <w:rsid w:val="007E2E16"/>
    <w:rsid w:val="007E3BD8"/>
    <w:rsid w:val="007E57F2"/>
    <w:rsid w:val="007E653A"/>
    <w:rsid w:val="007F3519"/>
    <w:rsid w:val="0080668B"/>
    <w:rsid w:val="0081318A"/>
    <w:rsid w:val="00814C3C"/>
    <w:rsid w:val="00817D1B"/>
    <w:rsid w:val="0082495C"/>
    <w:rsid w:val="0082609A"/>
    <w:rsid w:val="0083632B"/>
    <w:rsid w:val="00841059"/>
    <w:rsid w:val="00841718"/>
    <w:rsid w:val="00851C0B"/>
    <w:rsid w:val="0085432D"/>
    <w:rsid w:val="00855AB4"/>
    <w:rsid w:val="008561F1"/>
    <w:rsid w:val="0086134B"/>
    <w:rsid w:val="00864275"/>
    <w:rsid w:val="00872593"/>
    <w:rsid w:val="008846E9"/>
    <w:rsid w:val="00884DD1"/>
    <w:rsid w:val="00890399"/>
    <w:rsid w:val="00895F15"/>
    <w:rsid w:val="008A0636"/>
    <w:rsid w:val="008A2A01"/>
    <w:rsid w:val="008A38D6"/>
    <w:rsid w:val="008A3D1E"/>
    <w:rsid w:val="008A43C6"/>
    <w:rsid w:val="008A49F0"/>
    <w:rsid w:val="008B7D00"/>
    <w:rsid w:val="008C2879"/>
    <w:rsid w:val="008C6EB5"/>
    <w:rsid w:val="008D2EB9"/>
    <w:rsid w:val="008D41BD"/>
    <w:rsid w:val="008D4D00"/>
    <w:rsid w:val="008E7C26"/>
    <w:rsid w:val="008F2607"/>
    <w:rsid w:val="008F3774"/>
    <w:rsid w:val="0090051E"/>
    <w:rsid w:val="009061F1"/>
    <w:rsid w:val="00910307"/>
    <w:rsid w:val="0091131C"/>
    <w:rsid w:val="00911FA3"/>
    <w:rsid w:val="00917F50"/>
    <w:rsid w:val="0092046E"/>
    <w:rsid w:val="00926B68"/>
    <w:rsid w:val="009326D4"/>
    <w:rsid w:val="00942960"/>
    <w:rsid w:val="00952960"/>
    <w:rsid w:val="009571BF"/>
    <w:rsid w:val="0096181A"/>
    <w:rsid w:val="00970F5C"/>
    <w:rsid w:val="00980C64"/>
    <w:rsid w:val="00981617"/>
    <w:rsid w:val="00984F70"/>
    <w:rsid w:val="00995B9A"/>
    <w:rsid w:val="00995F22"/>
    <w:rsid w:val="00996706"/>
    <w:rsid w:val="0099789A"/>
    <w:rsid w:val="009A01A1"/>
    <w:rsid w:val="009A0F73"/>
    <w:rsid w:val="009A38B0"/>
    <w:rsid w:val="009A7B10"/>
    <w:rsid w:val="009B186D"/>
    <w:rsid w:val="009B46C1"/>
    <w:rsid w:val="009C7673"/>
    <w:rsid w:val="009D21EA"/>
    <w:rsid w:val="009E0942"/>
    <w:rsid w:val="009E153F"/>
    <w:rsid w:val="009F0A76"/>
    <w:rsid w:val="009F1C2B"/>
    <w:rsid w:val="009F42A2"/>
    <w:rsid w:val="009F782A"/>
    <w:rsid w:val="009F7F6C"/>
    <w:rsid w:val="00A04BBF"/>
    <w:rsid w:val="00A05764"/>
    <w:rsid w:val="00A05FE8"/>
    <w:rsid w:val="00A1783A"/>
    <w:rsid w:val="00A259D6"/>
    <w:rsid w:val="00A268FC"/>
    <w:rsid w:val="00A3654D"/>
    <w:rsid w:val="00A44FA7"/>
    <w:rsid w:val="00A4608B"/>
    <w:rsid w:val="00A55460"/>
    <w:rsid w:val="00A55D58"/>
    <w:rsid w:val="00A5629A"/>
    <w:rsid w:val="00A5637A"/>
    <w:rsid w:val="00A629AC"/>
    <w:rsid w:val="00A66921"/>
    <w:rsid w:val="00A67C22"/>
    <w:rsid w:val="00A722FB"/>
    <w:rsid w:val="00A73342"/>
    <w:rsid w:val="00A75E77"/>
    <w:rsid w:val="00A7769A"/>
    <w:rsid w:val="00A95599"/>
    <w:rsid w:val="00A96D56"/>
    <w:rsid w:val="00A974C1"/>
    <w:rsid w:val="00AA46CF"/>
    <w:rsid w:val="00AA5AB0"/>
    <w:rsid w:val="00AB0D59"/>
    <w:rsid w:val="00AB323C"/>
    <w:rsid w:val="00AB3AAE"/>
    <w:rsid w:val="00AB75A6"/>
    <w:rsid w:val="00AC1FF6"/>
    <w:rsid w:val="00AC5A32"/>
    <w:rsid w:val="00AC6807"/>
    <w:rsid w:val="00AD31B0"/>
    <w:rsid w:val="00AD43B9"/>
    <w:rsid w:val="00AD4486"/>
    <w:rsid w:val="00AD65C3"/>
    <w:rsid w:val="00AD7D0A"/>
    <w:rsid w:val="00AE2416"/>
    <w:rsid w:val="00AE2C0B"/>
    <w:rsid w:val="00AE76C2"/>
    <w:rsid w:val="00AF0307"/>
    <w:rsid w:val="00B0093A"/>
    <w:rsid w:val="00B057E0"/>
    <w:rsid w:val="00B07C2C"/>
    <w:rsid w:val="00B12E00"/>
    <w:rsid w:val="00B14F8C"/>
    <w:rsid w:val="00B15181"/>
    <w:rsid w:val="00B211A3"/>
    <w:rsid w:val="00B23783"/>
    <w:rsid w:val="00B316BA"/>
    <w:rsid w:val="00B41BE8"/>
    <w:rsid w:val="00B42D0C"/>
    <w:rsid w:val="00B463CF"/>
    <w:rsid w:val="00B54FA4"/>
    <w:rsid w:val="00B60D03"/>
    <w:rsid w:val="00B67091"/>
    <w:rsid w:val="00B81DAC"/>
    <w:rsid w:val="00B822EA"/>
    <w:rsid w:val="00B922A2"/>
    <w:rsid w:val="00B93851"/>
    <w:rsid w:val="00B94043"/>
    <w:rsid w:val="00B96B08"/>
    <w:rsid w:val="00BA33C7"/>
    <w:rsid w:val="00BA43B4"/>
    <w:rsid w:val="00BA43B8"/>
    <w:rsid w:val="00BA5FD9"/>
    <w:rsid w:val="00BB36E3"/>
    <w:rsid w:val="00BB4092"/>
    <w:rsid w:val="00BB771B"/>
    <w:rsid w:val="00BC4C57"/>
    <w:rsid w:val="00BC6593"/>
    <w:rsid w:val="00BC6C2F"/>
    <w:rsid w:val="00BD0E0D"/>
    <w:rsid w:val="00BD4AE7"/>
    <w:rsid w:val="00BD5A36"/>
    <w:rsid w:val="00BE14B9"/>
    <w:rsid w:val="00BE1EF6"/>
    <w:rsid w:val="00BE3720"/>
    <w:rsid w:val="00BE4944"/>
    <w:rsid w:val="00BE6245"/>
    <w:rsid w:val="00BF2DDD"/>
    <w:rsid w:val="00BF4EDC"/>
    <w:rsid w:val="00BF6572"/>
    <w:rsid w:val="00C0316B"/>
    <w:rsid w:val="00C10901"/>
    <w:rsid w:val="00C11001"/>
    <w:rsid w:val="00C20076"/>
    <w:rsid w:val="00C23D12"/>
    <w:rsid w:val="00C31EF7"/>
    <w:rsid w:val="00C3206D"/>
    <w:rsid w:val="00C33307"/>
    <w:rsid w:val="00C3371D"/>
    <w:rsid w:val="00C41417"/>
    <w:rsid w:val="00C4219E"/>
    <w:rsid w:val="00C4238E"/>
    <w:rsid w:val="00C4258A"/>
    <w:rsid w:val="00C45DE6"/>
    <w:rsid w:val="00C468C6"/>
    <w:rsid w:val="00C61402"/>
    <w:rsid w:val="00C66C12"/>
    <w:rsid w:val="00C66C81"/>
    <w:rsid w:val="00C7551A"/>
    <w:rsid w:val="00C811D2"/>
    <w:rsid w:val="00C84B8C"/>
    <w:rsid w:val="00C86109"/>
    <w:rsid w:val="00C93F35"/>
    <w:rsid w:val="00C95F82"/>
    <w:rsid w:val="00C97EAF"/>
    <w:rsid w:val="00CA01ED"/>
    <w:rsid w:val="00CA072F"/>
    <w:rsid w:val="00CB6C8A"/>
    <w:rsid w:val="00CB71B8"/>
    <w:rsid w:val="00CC29D1"/>
    <w:rsid w:val="00CC6E15"/>
    <w:rsid w:val="00CD2BD0"/>
    <w:rsid w:val="00CD341A"/>
    <w:rsid w:val="00CD7B97"/>
    <w:rsid w:val="00CE4584"/>
    <w:rsid w:val="00CF2F76"/>
    <w:rsid w:val="00CF3987"/>
    <w:rsid w:val="00CF487D"/>
    <w:rsid w:val="00D01565"/>
    <w:rsid w:val="00D02C02"/>
    <w:rsid w:val="00D03EFD"/>
    <w:rsid w:val="00D04855"/>
    <w:rsid w:val="00D06AE0"/>
    <w:rsid w:val="00D1341C"/>
    <w:rsid w:val="00D1398B"/>
    <w:rsid w:val="00D13DA7"/>
    <w:rsid w:val="00D162A8"/>
    <w:rsid w:val="00D20046"/>
    <w:rsid w:val="00D21A4A"/>
    <w:rsid w:val="00D3017F"/>
    <w:rsid w:val="00D311F3"/>
    <w:rsid w:val="00D3507F"/>
    <w:rsid w:val="00D35A65"/>
    <w:rsid w:val="00D363D0"/>
    <w:rsid w:val="00D36CE6"/>
    <w:rsid w:val="00D41FA5"/>
    <w:rsid w:val="00D4306E"/>
    <w:rsid w:val="00D44633"/>
    <w:rsid w:val="00D4526D"/>
    <w:rsid w:val="00D479F4"/>
    <w:rsid w:val="00D53260"/>
    <w:rsid w:val="00D556D1"/>
    <w:rsid w:val="00D6004F"/>
    <w:rsid w:val="00D669F9"/>
    <w:rsid w:val="00D706B6"/>
    <w:rsid w:val="00D811F9"/>
    <w:rsid w:val="00DA0593"/>
    <w:rsid w:val="00DA3692"/>
    <w:rsid w:val="00DB79E0"/>
    <w:rsid w:val="00DD14B2"/>
    <w:rsid w:val="00DD6BBC"/>
    <w:rsid w:val="00DE0EDD"/>
    <w:rsid w:val="00DE3005"/>
    <w:rsid w:val="00DE735E"/>
    <w:rsid w:val="00DF32B3"/>
    <w:rsid w:val="00DF3B9C"/>
    <w:rsid w:val="00DF5874"/>
    <w:rsid w:val="00DF5A8E"/>
    <w:rsid w:val="00E115ED"/>
    <w:rsid w:val="00E20FA3"/>
    <w:rsid w:val="00E24893"/>
    <w:rsid w:val="00E46647"/>
    <w:rsid w:val="00E4699A"/>
    <w:rsid w:val="00E5411A"/>
    <w:rsid w:val="00E6183C"/>
    <w:rsid w:val="00E64255"/>
    <w:rsid w:val="00E6527B"/>
    <w:rsid w:val="00E70C3D"/>
    <w:rsid w:val="00E71DE9"/>
    <w:rsid w:val="00E735E7"/>
    <w:rsid w:val="00E77357"/>
    <w:rsid w:val="00E805E8"/>
    <w:rsid w:val="00E8343D"/>
    <w:rsid w:val="00E9151E"/>
    <w:rsid w:val="00E93825"/>
    <w:rsid w:val="00E950F2"/>
    <w:rsid w:val="00E97BF1"/>
    <w:rsid w:val="00EA2F62"/>
    <w:rsid w:val="00EA5AF8"/>
    <w:rsid w:val="00EB25A6"/>
    <w:rsid w:val="00EB5255"/>
    <w:rsid w:val="00EC12FF"/>
    <w:rsid w:val="00EC5F49"/>
    <w:rsid w:val="00ED45DD"/>
    <w:rsid w:val="00ED5569"/>
    <w:rsid w:val="00EE3026"/>
    <w:rsid w:val="00EE3420"/>
    <w:rsid w:val="00EE7078"/>
    <w:rsid w:val="00EF5946"/>
    <w:rsid w:val="00EF72EA"/>
    <w:rsid w:val="00F04C79"/>
    <w:rsid w:val="00F11494"/>
    <w:rsid w:val="00F1390F"/>
    <w:rsid w:val="00F167C8"/>
    <w:rsid w:val="00F169A5"/>
    <w:rsid w:val="00F21E28"/>
    <w:rsid w:val="00F258A9"/>
    <w:rsid w:val="00F27C63"/>
    <w:rsid w:val="00F328C2"/>
    <w:rsid w:val="00F41CB0"/>
    <w:rsid w:val="00F424BF"/>
    <w:rsid w:val="00F43A19"/>
    <w:rsid w:val="00F44036"/>
    <w:rsid w:val="00F50C39"/>
    <w:rsid w:val="00F6171D"/>
    <w:rsid w:val="00F62963"/>
    <w:rsid w:val="00F62E68"/>
    <w:rsid w:val="00F7292B"/>
    <w:rsid w:val="00F72D44"/>
    <w:rsid w:val="00F8320C"/>
    <w:rsid w:val="00F86344"/>
    <w:rsid w:val="00F969D6"/>
    <w:rsid w:val="00F96D6E"/>
    <w:rsid w:val="00F96E01"/>
    <w:rsid w:val="00FA0345"/>
    <w:rsid w:val="00FB0A36"/>
    <w:rsid w:val="00FB0D1C"/>
    <w:rsid w:val="00FB2583"/>
    <w:rsid w:val="00FB5BA5"/>
    <w:rsid w:val="00FC4290"/>
    <w:rsid w:val="00FD5C48"/>
    <w:rsid w:val="00FD6A34"/>
    <w:rsid w:val="00FE24BC"/>
    <w:rsid w:val="00FE3A24"/>
    <w:rsid w:val="00FF02D5"/>
    <w:rsid w:val="01626E33"/>
    <w:rsid w:val="017A2F9F"/>
    <w:rsid w:val="01B67107"/>
    <w:rsid w:val="020F6D27"/>
    <w:rsid w:val="02217C74"/>
    <w:rsid w:val="026359B2"/>
    <w:rsid w:val="026B7642"/>
    <w:rsid w:val="02AC542A"/>
    <w:rsid w:val="038E49EB"/>
    <w:rsid w:val="03A45696"/>
    <w:rsid w:val="03B74B35"/>
    <w:rsid w:val="03D862B6"/>
    <w:rsid w:val="03FB4D0B"/>
    <w:rsid w:val="045B484E"/>
    <w:rsid w:val="047841EE"/>
    <w:rsid w:val="04A56073"/>
    <w:rsid w:val="04AD2B7D"/>
    <w:rsid w:val="04E841EF"/>
    <w:rsid w:val="05081AD1"/>
    <w:rsid w:val="052E6699"/>
    <w:rsid w:val="057728DC"/>
    <w:rsid w:val="05912D04"/>
    <w:rsid w:val="05C1448E"/>
    <w:rsid w:val="05C1761D"/>
    <w:rsid w:val="05D90398"/>
    <w:rsid w:val="05E52FAD"/>
    <w:rsid w:val="060A24AD"/>
    <w:rsid w:val="07640956"/>
    <w:rsid w:val="07A34544"/>
    <w:rsid w:val="07B72A61"/>
    <w:rsid w:val="08190B33"/>
    <w:rsid w:val="08C10882"/>
    <w:rsid w:val="08C7668D"/>
    <w:rsid w:val="08CC205B"/>
    <w:rsid w:val="08DB1609"/>
    <w:rsid w:val="09327D67"/>
    <w:rsid w:val="097859D4"/>
    <w:rsid w:val="09823D8A"/>
    <w:rsid w:val="09C9617E"/>
    <w:rsid w:val="0A280DE4"/>
    <w:rsid w:val="0A2D21B2"/>
    <w:rsid w:val="0A751EDD"/>
    <w:rsid w:val="0AB177F2"/>
    <w:rsid w:val="0AB319EF"/>
    <w:rsid w:val="0AEC3562"/>
    <w:rsid w:val="0B447CC4"/>
    <w:rsid w:val="0B5C19F8"/>
    <w:rsid w:val="0B6B4922"/>
    <w:rsid w:val="0B840250"/>
    <w:rsid w:val="0BBB1C03"/>
    <w:rsid w:val="0BBD1CFB"/>
    <w:rsid w:val="0BC63C92"/>
    <w:rsid w:val="0BCF17F7"/>
    <w:rsid w:val="0C1A7343"/>
    <w:rsid w:val="0C3C56A3"/>
    <w:rsid w:val="0C3E1C6B"/>
    <w:rsid w:val="0C8D0553"/>
    <w:rsid w:val="0C994F52"/>
    <w:rsid w:val="0CB6160D"/>
    <w:rsid w:val="0D4A231C"/>
    <w:rsid w:val="0DBA0DC1"/>
    <w:rsid w:val="0DCE605A"/>
    <w:rsid w:val="0E5158C5"/>
    <w:rsid w:val="0EA66A76"/>
    <w:rsid w:val="0EAD6E68"/>
    <w:rsid w:val="0EB15612"/>
    <w:rsid w:val="0ECF621B"/>
    <w:rsid w:val="0EFB5876"/>
    <w:rsid w:val="0F107EE3"/>
    <w:rsid w:val="0F3B4594"/>
    <w:rsid w:val="0F4603E9"/>
    <w:rsid w:val="0F5D6174"/>
    <w:rsid w:val="0F8109EA"/>
    <w:rsid w:val="0F931176"/>
    <w:rsid w:val="0FC0132B"/>
    <w:rsid w:val="0FCF39BD"/>
    <w:rsid w:val="100A1A0C"/>
    <w:rsid w:val="1016071E"/>
    <w:rsid w:val="10325A41"/>
    <w:rsid w:val="10656E2F"/>
    <w:rsid w:val="1084224C"/>
    <w:rsid w:val="10DB232E"/>
    <w:rsid w:val="1113718A"/>
    <w:rsid w:val="114859F3"/>
    <w:rsid w:val="12554B29"/>
    <w:rsid w:val="12AD3E7D"/>
    <w:rsid w:val="12C42FA0"/>
    <w:rsid w:val="12D35C61"/>
    <w:rsid w:val="12E0359D"/>
    <w:rsid w:val="12EA2F1A"/>
    <w:rsid w:val="130558D9"/>
    <w:rsid w:val="13424E21"/>
    <w:rsid w:val="137F545A"/>
    <w:rsid w:val="13801D6F"/>
    <w:rsid w:val="13841A7B"/>
    <w:rsid w:val="138B759A"/>
    <w:rsid w:val="13F46315"/>
    <w:rsid w:val="140D076E"/>
    <w:rsid w:val="140E2407"/>
    <w:rsid w:val="141F1F10"/>
    <w:rsid w:val="145206F0"/>
    <w:rsid w:val="14611714"/>
    <w:rsid w:val="14CF05AD"/>
    <w:rsid w:val="14CF3275"/>
    <w:rsid w:val="14E8356B"/>
    <w:rsid w:val="14EB3F48"/>
    <w:rsid w:val="14FD41CB"/>
    <w:rsid w:val="15546C2C"/>
    <w:rsid w:val="158240BB"/>
    <w:rsid w:val="160D5A33"/>
    <w:rsid w:val="164B77DE"/>
    <w:rsid w:val="164E5E0B"/>
    <w:rsid w:val="17532A55"/>
    <w:rsid w:val="17932EDC"/>
    <w:rsid w:val="17A36DDB"/>
    <w:rsid w:val="17A532AB"/>
    <w:rsid w:val="17D3145D"/>
    <w:rsid w:val="180B07AE"/>
    <w:rsid w:val="181A2360"/>
    <w:rsid w:val="181F4708"/>
    <w:rsid w:val="18221462"/>
    <w:rsid w:val="184F1121"/>
    <w:rsid w:val="185B2A86"/>
    <w:rsid w:val="18C66253"/>
    <w:rsid w:val="18CD5743"/>
    <w:rsid w:val="197B50D2"/>
    <w:rsid w:val="19926875"/>
    <w:rsid w:val="1A297DDD"/>
    <w:rsid w:val="1A7919B9"/>
    <w:rsid w:val="1B1350D9"/>
    <w:rsid w:val="1B9A7C0E"/>
    <w:rsid w:val="1B9B203B"/>
    <w:rsid w:val="1BFD1CC9"/>
    <w:rsid w:val="1C96385A"/>
    <w:rsid w:val="1CE92F5C"/>
    <w:rsid w:val="1D437979"/>
    <w:rsid w:val="1D4708B1"/>
    <w:rsid w:val="1D656164"/>
    <w:rsid w:val="1E8900BD"/>
    <w:rsid w:val="1ECB269E"/>
    <w:rsid w:val="1EE66C3C"/>
    <w:rsid w:val="1EF96BEA"/>
    <w:rsid w:val="1F116510"/>
    <w:rsid w:val="1F1C3B7B"/>
    <w:rsid w:val="1FCD30FB"/>
    <w:rsid w:val="200551AB"/>
    <w:rsid w:val="205932DE"/>
    <w:rsid w:val="20A03801"/>
    <w:rsid w:val="20BC5FF2"/>
    <w:rsid w:val="219D4F8D"/>
    <w:rsid w:val="222807B1"/>
    <w:rsid w:val="22435D4E"/>
    <w:rsid w:val="2245419D"/>
    <w:rsid w:val="22FE317D"/>
    <w:rsid w:val="237704D4"/>
    <w:rsid w:val="23891077"/>
    <w:rsid w:val="23A1558C"/>
    <w:rsid w:val="23BE50B1"/>
    <w:rsid w:val="2422161E"/>
    <w:rsid w:val="246E6851"/>
    <w:rsid w:val="24942E5E"/>
    <w:rsid w:val="24954F65"/>
    <w:rsid w:val="24C7511E"/>
    <w:rsid w:val="257F04AC"/>
    <w:rsid w:val="25E53B95"/>
    <w:rsid w:val="25EB17AB"/>
    <w:rsid w:val="25FF1317"/>
    <w:rsid w:val="26487E8F"/>
    <w:rsid w:val="266362EA"/>
    <w:rsid w:val="26791D53"/>
    <w:rsid w:val="268A5041"/>
    <w:rsid w:val="269A59A1"/>
    <w:rsid w:val="26D96305"/>
    <w:rsid w:val="26E96527"/>
    <w:rsid w:val="27293F76"/>
    <w:rsid w:val="275642B6"/>
    <w:rsid w:val="2797346E"/>
    <w:rsid w:val="27984D8A"/>
    <w:rsid w:val="27CC625C"/>
    <w:rsid w:val="27FF1758"/>
    <w:rsid w:val="28026E78"/>
    <w:rsid w:val="28406D20"/>
    <w:rsid w:val="285745A9"/>
    <w:rsid w:val="28604488"/>
    <w:rsid w:val="287F60B2"/>
    <w:rsid w:val="29696297"/>
    <w:rsid w:val="297011FE"/>
    <w:rsid w:val="29F90436"/>
    <w:rsid w:val="29FF1B5A"/>
    <w:rsid w:val="2A254E63"/>
    <w:rsid w:val="2A275D31"/>
    <w:rsid w:val="2AE168E0"/>
    <w:rsid w:val="2B2F33CE"/>
    <w:rsid w:val="2B762790"/>
    <w:rsid w:val="2BAC2B14"/>
    <w:rsid w:val="2BC73FBA"/>
    <w:rsid w:val="2BFF60E5"/>
    <w:rsid w:val="2C0042E3"/>
    <w:rsid w:val="2C0D59AC"/>
    <w:rsid w:val="2C2D5D74"/>
    <w:rsid w:val="2C334F61"/>
    <w:rsid w:val="2C3D20DB"/>
    <w:rsid w:val="2C51002E"/>
    <w:rsid w:val="2C71221F"/>
    <w:rsid w:val="2C715093"/>
    <w:rsid w:val="2CF75D34"/>
    <w:rsid w:val="2DDB0952"/>
    <w:rsid w:val="2E0221C2"/>
    <w:rsid w:val="2E0C46C8"/>
    <w:rsid w:val="2E2A738E"/>
    <w:rsid w:val="2E4A0CBE"/>
    <w:rsid w:val="2EAB46F5"/>
    <w:rsid w:val="2EC6420A"/>
    <w:rsid w:val="2EF3059D"/>
    <w:rsid w:val="2F1C3DF2"/>
    <w:rsid w:val="2F2C0A85"/>
    <w:rsid w:val="2F414FFF"/>
    <w:rsid w:val="2F8D5831"/>
    <w:rsid w:val="2FA6445E"/>
    <w:rsid w:val="2FAC25DB"/>
    <w:rsid w:val="2FAF3097"/>
    <w:rsid w:val="2FB617C0"/>
    <w:rsid w:val="300C6664"/>
    <w:rsid w:val="30450B4E"/>
    <w:rsid w:val="30465275"/>
    <w:rsid w:val="31061102"/>
    <w:rsid w:val="31A04CAD"/>
    <w:rsid w:val="31A70211"/>
    <w:rsid w:val="31B15053"/>
    <w:rsid w:val="320A79AF"/>
    <w:rsid w:val="3256082B"/>
    <w:rsid w:val="327D7E69"/>
    <w:rsid w:val="32826152"/>
    <w:rsid w:val="32EC51EE"/>
    <w:rsid w:val="33116010"/>
    <w:rsid w:val="331546C4"/>
    <w:rsid w:val="33656AA9"/>
    <w:rsid w:val="33782EB9"/>
    <w:rsid w:val="33A16094"/>
    <w:rsid w:val="33E6234B"/>
    <w:rsid w:val="33F80618"/>
    <w:rsid w:val="340E49EF"/>
    <w:rsid w:val="3465554A"/>
    <w:rsid w:val="34983DE3"/>
    <w:rsid w:val="34A64D07"/>
    <w:rsid w:val="34B10AAC"/>
    <w:rsid w:val="34BF6C35"/>
    <w:rsid w:val="34F5635F"/>
    <w:rsid w:val="354811BC"/>
    <w:rsid w:val="35521A2B"/>
    <w:rsid w:val="355E472E"/>
    <w:rsid w:val="359E40E8"/>
    <w:rsid w:val="35C22B6B"/>
    <w:rsid w:val="35EA737B"/>
    <w:rsid w:val="36706ADF"/>
    <w:rsid w:val="36833C5C"/>
    <w:rsid w:val="36A129F2"/>
    <w:rsid w:val="36B3095D"/>
    <w:rsid w:val="36D22597"/>
    <w:rsid w:val="371719A6"/>
    <w:rsid w:val="371E35B2"/>
    <w:rsid w:val="37564D03"/>
    <w:rsid w:val="37751EC2"/>
    <w:rsid w:val="37C77C1E"/>
    <w:rsid w:val="38233E4E"/>
    <w:rsid w:val="388010B8"/>
    <w:rsid w:val="38FA6DBA"/>
    <w:rsid w:val="390E5CB1"/>
    <w:rsid w:val="39474657"/>
    <w:rsid w:val="394E2214"/>
    <w:rsid w:val="399A1E48"/>
    <w:rsid w:val="39A10C32"/>
    <w:rsid w:val="39CC7911"/>
    <w:rsid w:val="39E44839"/>
    <w:rsid w:val="3A457B72"/>
    <w:rsid w:val="3A4A2286"/>
    <w:rsid w:val="3AA6726B"/>
    <w:rsid w:val="3ADC24DB"/>
    <w:rsid w:val="3AE82075"/>
    <w:rsid w:val="3B017FBE"/>
    <w:rsid w:val="3B307A72"/>
    <w:rsid w:val="3B9335A4"/>
    <w:rsid w:val="3B992613"/>
    <w:rsid w:val="3BB24F73"/>
    <w:rsid w:val="3BCD490E"/>
    <w:rsid w:val="3BDB6726"/>
    <w:rsid w:val="3C056780"/>
    <w:rsid w:val="3C0B3B20"/>
    <w:rsid w:val="3C1860E9"/>
    <w:rsid w:val="3C265FAB"/>
    <w:rsid w:val="3C45620B"/>
    <w:rsid w:val="3D7312A1"/>
    <w:rsid w:val="3D8F2FFE"/>
    <w:rsid w:val="3D8F779B"/>
    <w:rsid w:val="3DB31849"/>
    <w:rsid w:val="3E15702B"/>
    <w:rsid w:val="3E247857"/>
    <w:rsid w:val="3E984240"/>
    <w:rsid w:val="3EAD34C3"/>
    <w:rsid w:val="3EBE7C37"/>
    <w:rsid w:val="3F120426"/>
    <w:rsid w:val="3F1976B6"/>
    <w:rsid w:val="3F5E6431"/>
    <w:rsid w:val="3F8C0907"/>
    <w:rsid w:val="3F9B5E29"/>
    <w:rsid w:val="3FCE74BB"/>
    <w:rsid w:val="400454FD"/>
    <w:rsid w:val="40552C1F"/>
    <w:rsid w:val="4057229F"/>
    <w:rsid w:val="405F7DEE"/>
    <w:rsid w:val="40992FB0"/>
    <w:rsid w:val="40DB7824"/>
    <w:rsid w:val="410115DD"/>
    <w:rsid w:val="418A21AD"/>
    <w:rsid w:val="41A212A1"/>
    <w:rsid w:val="41EC42BB"/>
    <w:rsid w:val="4239228E"/>
    <w:rsid w:val="428A1304"/>
    <w:rsid w:val="42E44C98"/>
    <w:rsid w:val="431B6113"/>
    <w:rsid w:val="438834DF"/>
    <w:rsid w:val="43A20A3C"/>
    <w:rsid w:val="440B4462"/>
    <w:rsid w:val="444C66C3"/>
    <w:rsid w:val="44630F9F"/>
    <w:rsid w:val="446A3603"/>
    <w:rsid w:val="458B573C"/>
    <w:rsid w:val="45CE60A3"/>
    <w:rsid w:val="461C57E1"/>
    <w:rsid w:val="46425617"/>
    <w:rsid w:val="464D2106"/>
    <w:rsid w:val="46572A53"/>
    <w:rsid w:val="465B2718"/>
    <w:rsid w:val="46651F6D"/>
    <w:rsid w:val="46BE763A"/>
    <w:rsid w:val="46C178CC"/>
    <w:rsid w:val="46F31024"/>
    <w:rsid w:val="46FD3AFE"/>
    <w:rsid w:val="471E0A34"/>
    <w:rsid w:val="4723739A"/>
    <w:rsid w:val="47250EF5"/>
    <w:rsid w:val="47C21415"/>
    <w:rsid w:val="48206AB3"/>
    <w:rsid w:val="4849652E"/>
    <w:rsid w:val="487415C1"/>
    <w:rsid w:val="48813383"/>
    <w:rsid w:val="48994869"/>
    <w:rsid w:val="489B6E47"/>
    <w:rsid w:val="48B91344"/>
    <w:rsid w:val="48C3403D"/>
    <w:rsid w:val="4901682D"/>
    <w:rsid w:val="491F1E3E"/>
    <w:rsid w:val="497E4D40"/>
    <w:rsid w:val="498D6EB3"/>
    <w:rsid w:val="49A14844"/>
    <w:rsid w:val="4A38329E"/>
    <w:rsid w:val="4A786E7C"/>
    <w:rsid w:val="4A812037"/>
    <w:rsid w:val="4ABF0429"/>
    <w:rsid w:val="4B05514E"/>
    <w:rsid w:val="4B4B01DB"/>
    <w:rsid w:val="4B7D224D"/>
    <w:rsid w:val="4B88354F"/>
    <w:rsid w:val="4B897577"/>
    <w:rsid w:val="4BA739F3"/>
    <w:rsid w:val="4BAA41B4"/>
    <w:rsid w:val="4BCA5B3F"/>
    <w:rsid w:val="4BCB2F27"/>
    <w:rsid w:val="4BEF3793"/>
    <w:rsid w:val="4BF4339D"/>
    <w:rsid w:val="4C8B29AF"/>
    <w:rsid w:val="4CA010BB"/>
    <w:rsid w:val="4CBA3F1B"/>
    <w:rsid w:val="4CC1550E"/>
    <w:rsid w:val="4CCB5B06"/>
    <w:rsid w:val="4D0A37F3"/>
    <w:rsid w:val="4D380018"/>
    <w:rsid w:val="4D585803"/>
    <w:rsid w:val="4D7D0483"/>
    <w:rsid w:val="4D8712EF"/>
    <w:rsid w:val="4DFC778B"/>
    <w:rsid w:val="4E2D0EEC"/>
    <w:rsid w:val="4E4C4964"/>
    <w:rsid w:val="4E5F365E"/>
    <w:rsid w:val="4E91728C"/>
    <w:rsid w:val="4EF42EFE"/>
    <w:rsid w:val="4FDE358A"/>
    <w:rsid w:val="501832A3"/>
    <w:rsid w:val="50632B28"/>
    <w:rsid w:val="50C63B0F"/>
    <w:rsid w:val="50F36C04"/>
    <w:rsid w:val="51011AC0"/>
    <w:rsid w:val="51086CD3"/>
    <w:rsid w:val="511B035E"/>
    <w:rsid w:val="512B6610"/>
    <w:rsid w:val="517A3160"/>
    <w:rsid w:val="51D53FD0"/>
    <w:rsid w:val="52517D92"/>
    <w:rsid w:val="527F0375"/>
    <w:rsid w:val="528D4348"/>
    <w:rsid w:val="52BF3EA5"/>
    <w:rsid w:val="52E5462F"/>
    <w:rsid w:val="53030193"/>
    <w:rsid w:val="531427EC"/>
    <w:rsid w:val="531C785E"/>
    <w:rsid w:val="533770C8"/>
    <w:rsid w:val="5338243A"/>
    <w:rsid w:val="53BD0CC2"/>
    <w:rsid w:val="53E84DC7"/>
    <w:rsid w:val="54091EFA"/>
    <w:rsid w:val="543B42DA"/>
    <w:rsid w:val="54481E7C"/>
    <w:rsid w:val="54E64A90"/>
    <w:rsid w:val="54EF1C22"/>
    <w:rsid w:val="54F43EB0"/>
    <w:rsid w:val="55025399"/>
    <w:rsid w:val="55631682"/>
    <w:rsid w:val="55913DE9"/>
    <w:rsid w:val="55B36956"/>
    <w:rsid w:val="55BC0A87"/>
    <w:rsid w:val="55C44EE3"/>
    <w:rsid w:val="55CD6DBF"/>
    <w:rsid w:val="55D409AB"/>
    <w:rsid w:val="560E70A6"/>
    <w:rsid w:val="564C33E3"/>
    <w:rsid w:val="565A5E3A"/>
    <w:rsid w:val="56AA311A"/>
    <w:rsid w:val="56B357D4"/>
    <w:rsid w:val="576B630C"/>
    <w:rsid w:val="57906076"/>
    <w:rsid w:val="57F42648"/>
    <w:rsid w:val="57F77E8D"/>
    <w:rsid w:val="58080CB7"/>
    <w:rsid w:val="584101D8"/>
    <w:rsid w:val="584366A5"/>
    <w:rsid w:val="58464AEC"/>
    <w:rsid w:val="58D37D03"/>
    <w:rsid w:val="58F80B81"/>
    <w:rsid w:val="59171D29"/>
    <w:rsid w:val="594B64BC"/>
    <w:rsid w:val="59C1394B"/>
    <w:rsid w:val="59E4333B"/>
    <w:rsid w:val="5A327175"/>
    <w:rsid w:val="5A461F67"/>
    <w:rsid w:val="5A4D12DB"/>
    <w:rsid w:val="5AA95942"/>
    <w:rsid w:val="5B9A1A90"/>
    <w:rsid w:val="5BEA616D"/>
    <w:rsid w:val="5C620610"/>
    <w:rsid w:val="5C7C27CC"/>
    <w:rsid w:val="5C8E6646"/>
    <w:rsid w:val="5CA1473C"/>
    <w:rsid w:val="5D743AF2"/>
    <w:rsid w:val="5D784DB7"/>
    <w:rsid w:val="5D804113"/>
    <w:rsid w:val="5D86298B"/>
    <w:rsid w:val="5DF574B1"/>
    <w:rsid w:val="5E01598A"/>
    <w:rsid w:val="5E0518AE"/>
    <w:rsid w:val="5E7319C7"/>
    <w:rsid w:val="5F3F14B1"/>
    <w:rsid w:val="5F4A1944"/>
    <w:rsid w:val="5F736A1C"/>
    <w:rsid w:val="5F7C1524"/>
    <w:rsid w:val="61431576"/>
    <w:rsid w:val="61B07674"/>
    <w:rsid w:val="61D16983"/>
    <w:rsid w:val="63B16DA6"/>
    <w:rsid w:val="64325BAA"/>
    <w:rsid w:val="6474563E"/>
    <w:rsid w:val="64DD2E2F"/>
    <w:rsid w:val="650C79CC"/>
    <w:rsid w:val="651F0B40"/>
    <w:rsid w:val="654A3BA1"/>
    <w:rsid w:val="65720792"/>
    <w:rsid w:val="65727ED4"/>
    <w:rsid w:val="658D11B9"/>
    <w:rsid w:val="65A15618"/>
    <w:rsid w:val="660467A7"/>
    <w:rsid w:val="66471D7C"/>
    <w:rsid w:val="667D6EFB"/>
    <w:rsid w:val="66FD7813"/>
    <w:rsid w:val="67825ED9"/>
    <w:rsid w:val="67A0385B"/>
    <w:rsid w:val="67B37940"/>
    <w:rsid w:val="686C2A53"/>
    <w:rsid w:val="689C4BB9"/>
    <w:rsid w:val="68A245E2"/>
    <w:rsid w:val="68B0544A"/>
    <w:rsid w:val="690F3CAF"/>
    <w:rsid w:val="6A0C28CE"/>
    <w:rsid w:val="6A650A4D"/>
    <w:rsid w:val="6B7060C6"/>
    <w:rsid w:val="6C60029B"/>
    <w:rsid w:val="6C6E4164"/>
    <w:rsid w:val="6C927168"/>
    <w:rsid w:val="6D8C5247"/>
    <w:rsid w:val="6E904287"/>
    <w:rsid w:val="6EA83056"/>
    <w:rsid w:val="6EB55F1D"/>
    <w:rsid w:val="6EBE51FD"/>
    <w:rsid w:val="6EF364B6"/>
    <w:rsid w:val="6F2540A9"/>
    <w:rsid w:val="700B56BF"/>
    <w:rsid w:val="700F5C73"/>
    <w:rsid w:val="70817FC6"/>
    <w:rsid w:val="70AF0E0B"/>
    <w:rsid w:val="70C87CAA"/>
    <w:rsid w:val="70CF179B"/>
    <w:rsid w:val="71723BF8"/>
    <w:rsid w:val="71B459C5"/>
    <w:rsid w:val="71CB4143"/>
    <w:rsid w:val="721C092E"/>
    <w:rsid w:val="723D7934"/>
    <w:rsid w:val="727266B8"/>
    <w:rsid w:val="72804A5F"/>
    <w:rsid w:val="72C81D24"/>
    <w:rsid w:val="73510736"/>
    <w:rsid w:val="73772C48"/>
    <w:rsid w:val="73B34B68"/>
    <w:rsid w:val="73C87749"/>
    <w:rsid w:val="742D20BE"/>
    <w:rsid w:val="74300B51"/>
    <w:rsid w:val="74373E1F"/>
    <w:rsid w:val="74557B08"/>
    <w:rsid w:val="745909D3"/>
    <w:rsid w:val="74757604"/>
    <w:rsid w:val="747B32BE"/>
    <w:rsid w:val="756026FD"/>
    <w:rsid w:val="757027FD"/>
    <w:rsid w:val="764C7835"/>
    <w:rsid w:val="76606237"/>
    <w:rsid w:val="76BC0040"/>
    <w:rsid w:val="76E97240"/>
    <w:rsid w:val="77547F95"/>
    <w:rsid w:val="77581BDC"/>
    <w:rsid w:val="77DF77F2"/>
    <w:rsid w:val="77F53FBA"/>
    <w:rsid w:val="77FE3901"/>
    <w:rsid w:val="78A056D5"/>
    <w:rsid w:val="78B612F9"/>
    <w:rsid w:val="78B86F01"/>
    <w:rsid w:val="78BD180A"/>
    <w:rsid w:val="78BD2213"/>
    <w:rsid w:val="78CA62AD"/>
    <w:rsid w:val="79383F91"/>
    <w:rsid w:val="796C56F2"/>
    <w:rsid w:val="79DA4CD9"/>
    <w:rsid w:val="79DC3C10"/>
    <w:rsid w:val="79F32D29"/>
    <w:rsid w:val="7A3031E0"/>
    <w:rsid w:val="7A5F3AF6"/>
    <w:rsid w:val="7A640644"/>
    <w:rsid w:val="7A66765A"/>
    <w:rsid w:val="7AB07AB2"/>
    <w:rsid w:val="7B7C3CE3"/>
    <w:rsid w:val="7B84301F"/>
    <w:rsid w:val="7B937DA9"/>
    <w:rsid w:val="7BB813CF"/>
    <w:rsid w:val="7BFB159A"/>
    <w:rsid w:val="7C240326"/>
    <w:rsid w:val="7C5365EF"/>
    <w:rsid w:val="7C5F4A2B"/>
    <w:rsid w:val="7C6E6F9B"/>
    <w:rsid w:val="7C724B1A"/>
    <w:rsid w:val="7DDB79A8"/>
    <w:rsid w:val="7DE6477E"/>
    <w:rsid w:val="7E17286F"/>
    <w:rsid w:val="7E265B35"/>
    <w:rsid w:val="7E395726"/>
    <w:rsid w:val="7E54076D"/>
    <w:rsid w:val="7E836D97"/>
    <w:rsid w:val="7E8E73EF"/>
    <w:rsid w:val="7EF23A73"/>
    <w:rsid w:val="7F523D4E"/>
    <w:rsid w:val="7F7D4793"/>
    <w:rsid w:val="F3FD6B2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3"/>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paragraph" w:styleId="9">
    <w:name w:val="List Paragraph"/>
    <w:basedOn w:val="1"/>
    <w:qFormat/>
    <w:uiPriority w:val="34"/>
    <w:pPr>
      <w:ind w:firstLine="420" w:firstLineChars="200"/>
    </w:pPr>
  </w:style>
  <w:style w:type="paragraph" w:customStyle="1" w:styleId="10">
    <w:name w:val="普通(网站) Char"/>
    <w:basedOn w:val="1"/>
    <w:qFormat/>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character" w:customStyle="1" w:styleId="11">
    <w:name w:val="页眉 字符"/>
    <w:link w:val="4"/>
    <w:qFormat/>
    <w:uiPriority w:val="99"/>
    <w:rPr>
      <w:sz w:val="18"/>
      <w:szCs w:val="18"/>
    </w:rPr>
  </w:style>
  <w:style w:type="character" w:customStyle="1" w:styleId="12">
    <w:name w:val="页脚 字符"/>
    <w:link w:val="3"/>
    <w:qFormat/>
    <w:uiPriority w:val="99"/>
    <w:rPr>
      <w:sz w:val="18"/>
      <w:szCs w:val="18"/>
    </w:rPr>
  </w:style>
  <w:style w:type="character" w:customStyle="1" w:styleId="13">
    <w:name w:val="批注框文本 字符"/>
    <w:link w:val="2"/>
    <w:semiHidden/>
    <w:qFormat/>
    <w:uiPriority w:val="99"/>
    <w:rPr>
      <w:kern w:val="2"/>
      <w:sz w:val="18"/>
      <w:szCs w:val="18"/>
    </w:rPr>
  </w:style>
  <w:style w:type="character" w:customStyle="1" w:styleId="14">
    <w:name w:val="23"/>
    <w:basedOn w:val="7"/>
    <w:qFormat/>
    <w:uiPriority w:val="0"/>
    <w:rPr>
      <w:rFonts w:hint="default" w:ascii="Times New Roman" w:hAnsi="Times New Roman" w:cs="Times New Roman"/>
      <w:b/>
    </w:rPr>
  </w:style>
  <w:style w:type="character" w:customStyle="1" w:styleId="15">
    <w:name w:val="页脚 Char"/>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12</Pages>
  <Words>5142</Words>
  <Characters>5715</Characters>
  <Lines>16</Lines>
  <Paragraphs>4</Paragraphs>
  <TotalTime>138</TotalTime>
  <ScaleCrop>false</ScaleCrop>
  <LinksUpToDate>false</LinksUpToDate>
  <CharactersWithSpaces>5721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2021-07-06T14:32:00Z</dcterms:created>
  <dc:creator>微软用户</dc:creator>
  <cp:lastModifiedBy>Administrator</cp:lastModifiedBy>
  <cp:lastPrinted>2025-08-18T02:01:56Z</cp:lastPrinted>
  <dcterms:modified xsi:type="dcterms:W3CDTF">2025-08-18T02:24:36Z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D8E90F97EEBF49CF92E602E51C9F851D_13</vt:lpwstr>
  </property>
  <property fmtid="{D5CDD505-2E9C-101B-9397-08002B2CF9AE}" pid="4" name="KSOTemplateDocerSaveRecord">
    <vt:lpwstr>eyJoZGlkIjoiMWZhZjdkMjNlNTVmNGY3MjFkODNlNmYzNGQ2YjQzMTMifQ==</vt:lpwstr>
  </property>
</Properties>
</file>