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9" w:lineRule="exact"/>
        <w:jc w:val="center"/>
        <w:rPr>
          <w:rFonts w:hint="eastAsia" w:ascii="宋体" w:hAnsi="宋体" w:eastAsia="方正小标宋_GBK" w:cs="方正小标宋_GBK"/>
          <w:sz w:val="44"/>
          <w:szCs w:val="44"/>
        </w:rPr>
      </w:pPr>
      <w:r>
        <w:rPr>
          <w:rFonts w:hint="eastAsia" w:ascii="宋体" w:hAnsi="宋体" w:eastAsia="方正小标宋_GBK" w:cs="方正小标宋_GBK"/>
          <w:sz w:val="44"/>
          <w:szCs w:val="44"/>
        </w:rPr>
        <w:t>重庆市江津区应急管理局</w:t>
      </w:r>
    </w:p>
    <w:p>
      <w:pPr>
        <w:spacing w:line="579" w:lineRule="exact"/>
        <w:jc w:val="center"/>
        <w:rPr>
          <w:rFonts w:ascii="宋体" w:hAnsi="宋体" w:eastAsia="方正仿宋_GBK" w:cs="方正仿宋_GBK"/>
          <w:sz w:val="44"/>
          <w:szCs w:val="44"/>
        </w:rPr>
      </w:pPr>
      <w:bookmarkStart w:id="0" w:name="_GoBack"/>
      <w:bookmarkEnd w:id="0"/>
      <w:r>
        <w:rPr>
          <w:rFonts w:hint="eastAsia" w:ascii="宋体" w:hAnsi="宋体" w:eastAsia="方正小标宋_GBK" w:cs="方正小标宋_GBK"/>
          <w:sz w:val="44"/>
          <w:szCs w:val="44"/>
        </w:rPr>
        <w:t>2024年度部门决算公开说明</w:t>
      </w:r>
    </w:p>
    <w:p>
      <w:pPr>
        <w:pStyle w:val="9"/>
        <w:keepNext w:val="0"/>
        <w:keepLines w:val="0"/>
        <w:pageBreakBefore w:val="0"/>
        <w:tabs>
          <w:tab w:val="center" w:pos="4153"/>
          <w:tab w:val="left" w:pos="7275"/>
        </w:tabs>
        <w:kinsoku/>
        <w:wordWrap/>
        <w:overflowPunct/>
        <w:topLinePunct w:val="0"/>
        <w:autoSpaceDN/>
        <w:bidi w:val="0"/>
        <w:spacing w:line="579" w:lineRule="exact"/>
        <w:ind w:firstLine="640" w:firstLineChars="200"/>
        <w:jc w:val="both"/>
        <w:textAlignment w:val="auto"/>
        <w:outlineLvl w:val="0"/>
        <w:rPr>
          <w:rFonts w:hint="eastAsia" w:ascii="宋体" w:hAnsi="宋体" w:eastAsia="方正黑体_GBK" w:cs="方正黑体_GBK"/>
          <w:sz w:val="32"/>
          <w:szCs w:val="32"/>
        </w:rPr>
      </w:pPr>
    </w:p>
    <w:p>
      <w:pPr>
        <w:pStyle w:val="9"/>
        <w:keepNext w:val="0"/>
        <w:keepLines w:val="0"/>
        <w:pageBreakBefore w:val="0"/>
        <w:tabs>
          <w:tab w:val="center" w:pos="4153"/>
          <w:tab w:val="left" w:pos="7275"/>
        </w:tabs>
        <w:kinsoku/>
        <w:wordWrap/>
        <w:overflowPunct/>
        <w:topLinePunct w:val="0"/>
        <w:autoSpaceDN/>
        <w:bidi w:val="0"/>
        <w:spacing w:line="579" w:lineRule="exact"/>
        <w:ind w:firstLine="640" w:firstLineChars="200"/>
        <w:jc w:val="both"/>
        <w:textAlignment w:val="auto"/>
        <w:outlineLvl w:val="0"/>
        <w:rPr>
          <w:rFonts w:ascii="宋体" w:hAnsi="宋体" w:eastAsia="方正黑体_GBK" w:cs="方正黑体_GBK"/>
          <w:sz w:val="32"/>
          <w:szCs w:val="32"/>
        </w:rPr>
      </w:pPr>
      <w:r>
        <w:rPr>
          <w:rFonts w:hint="eastAsia" w:ascii="宋体" w:hAnsi="宋体" w:eastAsia="方正黑体_GBK" w:cs="方正黑体_GBK"/>
          <w:sz w:val="32"/>
          <w:szCs w:val="32"/>
        </w:rPr>
        <w:t>一、部门基本情况</w:t>
      </w:r>
    </w:p>
    <w:p>
      <w:pPr>
        <w:keepNext w:val="0"/>
        <w:keepLines w:val="0"/>
        <w:pageBreakBefore w:val="0"/>
        <w:kinsoku/>
        <w:wordWrap/>
        <w:overflowPunct/>
        <w:topLinePunct w:val="0"/>
        <w:autoSpaceDN/>
        <w:bidi w:val="0"/>
        <w:spacing w:line="579" w:lineRule="exact"/>
        <w:ind w:firstLine="640" w:firstLineChars="200"/>
        <w:jc w:val="both"/>
        <w:textAlignment w:val="auto"/>
        <w:outlineLvl w:val="1"/>
        <w:rPr>
          <w:rFonts w:ascii="宋体" w:hAnsi="宋体" w:eastAsia="方正楷体_GBK" w:cs="方正楷体_GBK"/>
          <w:kern w:val="0"/>
          <w:sz w:val="32"/>
          <w:szCs w:val="32"/>
        </w:rPr>
      </w:pPr>
      <w:r>
        <w:rPr>
          <w:rFonts w:hint="eastAsia" w:ascii="宋体" w:hAnsi="宋体" w:eastAsia="方正楷体_GBK" w:cs="方正楷体_GBK"/>
          <w:kern w:val="0"/>
          <w:sz w:val="32"/>
          <w:szCs w:val="32"/>
        </w:rPr>
        <w:t>（一）职能职责</w:t>
      </w:r>
    </w:p>
    <w:p>
      <w:pPr>
        <w:keepNext w:val="0"/>
        <w:keepLines w:val="0"/>
        <w:pageBreakBefore w:val="0"/>
        <w:kinsoku/>
        <w:wordWrap/>
        <w:overflowPunct/>
        <w:topLinePunct w:val="0"/>
        <w:autoSpaceDN/>
        <w:bidi w:val="0"/>
        <w:spacing w:line="579" w:lineRule="exact"/>
        <w:ind w:firstLine="640" w:firstLineChars="200"/>
        <w:jc w:val="both"/>
        <w:textAlignment w:val="auto"/>
        <w:rPr>
          <w:rFonts w:ascii="宋体" w:hAnsi="宋体" w:eastAsia="方正仿宋_GBK" w:cs="方正仿宋_GBK"/>
          <w:kern w:val="0"/>
          <w:sz w:val="32"/>
          <w:szCs w:val="32"/>
        </w:rPr>
      </w:pPr>
      <w:r>
        <w:rPr>
          <w:rFonts w:hint="eastAsia" w:ascii="方正仿宋_GBK" w:eastAsia="方正仿宋_GBK" w:cs="仿宋_GB2312"/>
          <w:sz w:val="32"/>
          <w:szCs w:val="32"/>
        </w:rPr>
        <w:t>负责全区应急管理工作，指导各级各部门应对安全生产类、自然灾害类等突发事件和综合防灾减灾救灾工作。负责安全生产综合监督管理工作和工矿商贸行业安全生产监督管理工作；危险化学品安全监督管理综合工作和烟花爆竹安全生产监督管理工作。组织编制全区应急体系建设</w:t>
      </w:r>
      <w:r>
        <w:rPr>
          <w:rFonts w:hint="eastAsia" w:ascii="方正仿宋_GBK" w:eastAsia="方正仿宋_GBK" w:cs="仿宋_GB2312"/>
          <w:sz w:val="32"/>
          <w:szCs w:val="32"/>
          <w:lang w:eastAsia="zh-CN"/>
        </w:rPr>
        <w:t>，</w:t>
      </w:r>
      <w:r>
        <w:rPr>
          <w:rFonts w:hint="eastAsia" w:ascii="方正仿宋_GBK" w:eastAsia="方正仿宋_GBK" w:cs="仿宋_GB2312"/>
          <w:sz w:val="32"/>
          <w:szCs w:val="32"/>
        </w:rPr>
        <w:t>指导应急预案体系建设，组织开展预案演练。牵头建立全区统一的应急管理信息系统，建立监测预警和灾情报告制度</w:t>
      </w:r>
      <w:r>
        <w:rPr>
          <w:rFonts w:hint="eastAsia" w:ascii="方正仿宋_GBK" w:eastAsia="方正仿宋_GBK" w:cs="仿宋_GB2312"/>
          <w:sz w:val="32"/>
          <w:szCs w:val="32"/>
          <w:lang w:eastAsia="zh-CN"/>
        </w:rPr>
        <w:t>，</w:t>
      </w:r>
      <w:r>
        <w:rPr>
          <w:rFonts w:hint="eastAsia" w:ascii="方正仿宋_GBK" w:eastAsia="方正仿宋_GBK" w:cs="仿宋_GB2312"/>
          <w:sz w:val="32"/>
          <w:szCs w:val="32"/>
        </w:rPr>
        <w:t>依法统一发布灾情。组织指导协调安全生产类、自然灾害类等突发事件应急救援，承担全区应对灾害指挥协调工作，协助区委、区政府指定的负责同志组织灾害应急处置工作。统一协调指挥全区各类应急专业队伍，建立应急协调联动机制。统筹应急救援力量建设，负责区委区政府对区综合性应急救援队伍业务建设。指导协调森林火灾、水旱灾害、地震和地质灾害等防治工作；</w:t>
      </w:r>
      <w:r>
        <w:rPr>
          <w:rFonts w:hint="eastAsia" w:ascii="方正仿宋_GBK" w:eastAsia="方正仿宋_GBK" w:cs="方正仿宋_GBK"/>
          <w:color w:val="000000"/>
          <w:sz w:val="32"/>
          <w:szCs w:val="32"/>
        </w:rPr>
        <w:t>组织编制本行政区域的防震减灾规划，负责地震观测环境审查、震情监测、地震宏观异常处置、防震减灾知识宣传教育和群测群防体系建设；</w:t>
      </w:r>
      <w:r>
        <w:rPr>
          <w:rFonts w:hint="eastAsia" w:ascii="方正仿宋_GBK" w:eastAsia="方正仿宋_GBK" w:cs="仿宋_GB2312"/>
          <w:sz w:val="32"/>
          <w:szCs w:val="32"/>
        </w:rPr>
        <w:t>组织协调灾害救助工作。依法行使安全生产综合监督管理职权，组织开展安全生产巡查、考核工作。承担区政府安全生产委员会日常工作。依法组织开展生产安全事故调查处理，监督事故查处和责任追究落实情况。</w:t>
      </w:r>
      <w:r>
        <w:rPr>
          <w:rFonts w:hint="eastAsia" w:ascii="方正仿宋_GBK" w:eastAsia="方正仿宋_GBK" w:cs="方正仿宋_GBK"/>
          <w:color w:val="000000"/>
          <w:sz w:val="32"/>
          <w:szCs w:val="32"/>
        </w:rPr>
        <w:t>负责提出区级救灾物资、安全生产应急救援物资的储备需求和动用决策，组织编制区级救灾物资、安全生产应急救援物资储备规划、品种目录和标准，会同区发展改革委等部门确定年度购置计划，根据需要下达动用指令；负责事故灾害救援装备的收储、轮换和日常管理。</w:t>
      </w:r>
      <w:r>
        <w:rPr>
          <w:rFonts w:hint="eastAsia" w:ascii="方正仿宋_GBK" w:eastAsia="方正仿宋_GBK" w:cs="仿宋_GB2312"/>
          <w:sz w:val="32"/>
          <w:szCs w:val="32"/>
        </w:rPr>
        <w:t>负责应急管理、安全生产宣传教育和培训工作。负责安全生产综合行政执法，具体执法交由相关执法队伍承担，并以部门的名义统一执法。</w:t>
      </w:r>
    </w:p>
    <w:p>
      <w:pPr>
        <w:keepNext w:val="0"/>
        <w:keepLines w:val="0"/>
        <w:pageBreakBefore w:val="0"/>
        <w:kinsoku/>
        <w:wordWrap/>
        <w:overflowPunct/>
        <w:topLinePunct w:val="0"/>
        <w:autoSpaceDN/>
        <w:bidi w:val="0"/>
        <w:spacing w:line="579" w:lineRule="exact"/>
        <w:ind w:firstLine="640" w:firstLineChars="200"/>
        <w:jc w:val="both"/>
        <w:textAlignment w:val="auto"/>
        <w:outlineLvl w:val="1"/>
        <w:rPr>
          <w:rFonts w:ascii="宋体" w:hAnsi="宋体" w:eastAsia="方正楷体_GBK" w:cs="方正楷体_GBK"/>
          <w:kern w:val="0"/>
          <w:sz w:val="32"/>
          <w:szCs w:val="32"/>
        </w:rPr>
      </w:pPr>
      <w:r>
        <w:rPr>
          <w:rFonts w:hint="eastAsia" w:ascii="宋体" w:hAnsi="宋体" w:eastAsia="方正楷体_GBK" w:cs="方正楷体_GBK"/>
          <w:kern w:val="0"/>
          <w:sz w:val="32"/>
          <w:szCs w:val="32"/>
        </w:rPr>
        <w:t>（二）机构设置</w:t>
      </w:r>
    </w:p>
    <w:p>
      <w:pPr>
        <w:keepNext w:val="0"/>
        <w:keepLines w:val="0"/>
        <w:pageBreakBefore w:val="0"/>
        <w:kinsoku/>
        <w:wordWrap/>
        <w:overflowPunct/>
        <w:topLinePunct w:val="0"/>
        <w:autoSpaceDN/>
        <w:bidi w:val="0"/>
        <w:spacing w:line="579" w:lineRule="exact"/>
        <w:ind w:firstLine="640" w:firstLineChars="200"/>
        <w:jc w:val="both"/>
        <w:textAlignment w:val="auto"/>
        <w:outlineLvl w:val="0"/>
        <w:rPr>
          <w:rFonts w:ascii="方正仿宋_GBK" w:eastAsia="方正仿宋_GBK" w:cs="仿宋_GB2312"/>
          <w:sz w:val="32"/>
          <w:szCs w:val="32"/>
        </w:rPr>
      </w:pPr>
      <w:r>
        <w:rPr>
          <w:rFonts w:hint="eastAsia" w:eastAsia="方正仿宋_GBK"/>
          <w:sz w:val="32"/>
          <w:szCs w:val="32"/>
        </w:rPr>
        <w:t>部门</w:t>
      </w:r>
      <w:r>
        <w:rPr>
          <w:rFonts w:eastAsia="方正仿宋_GBK"/>
          <w:sz w:val="32"/>
          <w:szCs w:val="32"/>
        </w:rPr>
        <w:t>下设3个二级预算单位：</w:t>
      </w:r>
      <w:r>
        <w:rPr>
          <w:rFonts w:hint="eastAsia" w:eastAsia="方正仿宋_GBK"/>
          <w:sz w:val="32"/>
          <w:szCs w:val="32"/>
          <w:lang w:eastAsia="zh-CN"/>
        </w:rPr>
        <w:t>（</w:t>
      </w:r>
      <w:r>
        <w:rPr>
          <w:rFonts w:hint="eastAsia" w:eastAsia="方正仿宋_GBK"/>
          <w:sz w:val="32"/>
          <w:szCs w:val="32"/>
          <w:lang w:val="en-US" w:eastAsia="zh-CN"/>
        </w:rPr>
        <w:t>1</w:t>
      </w:r>
      <w:r>
        <w:rPr>
          <w:rFonts w:hint="eastAsia" w:eastAsia="方正仿宋_GBK"/>
          <w:sz w:val="32"/>
          <w:szCs w:val="32"/>
          <w:lang w:eastAsia="zh-CN"/>
        </w:rPr>
        <w:t>）</w:t>
      </w:r>
      <w:r>
        <w:rPr>
          <w:rFonts w:eastAsia="方正仿宋_GBK"/>
          <w:sz w:val="32"/>
          <w:szCs w:val="32"/>
        </w:rPr>
        <w:t>重庆市江津区应急管理</w:t>
      </w:r>
      <w:r>
        <w:rPr>
          <w:rFonts w:hint="eastAsia" w:eastAsia="方正仿宋_GBK"/>
          <w:sz w:val="32"/>
          <w:szCs w:val="32"/>
          <w:lang w:val="en-US" w:eastAsia="zh-CN"/>
        </w:rPr>
        <w:t>局</w:t>
      </w:r>
      <w:r>
        <w:rPr>
          <w:rFonts w:eastAsia="方正仿宋_GBK"/>
          <w:sz w:val="32"/>
          <w:szCs w:val="32"/>
        </w:rPr>
        <w:t>（</w:t>
      </w:r>
      <w:r>
        <w:rPr>
          <w:rFonts w:hint="eastAsia" w:eastAsia="方正仿宋_GBK"/>
          <w:sz w:val="32"/>
          <w:szCs w:val="32"/>
        </w:rPr>
        <w:t>本级</w:t>
      </w:r>
      <w:r>
        <w:rPr>
          <w:rFonts w:eastAsia="方正仿宋_GBK"/>
          <w:sz w:val="32"/>
          <w:szCs w:val="32"/>
        </w:rPr>
        <w:t>）</w:t>
      </w:r>
      <w:r>
        <w:rPr>
          <w:rFonts w:hint="eastAsia" w:eastAsia="方正仿宋_GBK"/>
          <w:sz w:val="32"/>
          <w:szCs w:val="32"/>
        </w:rPr>
        <w:t>内设机构</w:t>
      </w:r>
      <w:r>
        <w:rPr>
          <w:rFonts w:eastAsia="方正仿宋_GBK"/>
          <w:sz w:val="32"/>
          <w:szCs w:val="32"/>
        </w:rPr>
        <w:t>7</w:t>
      </w:r>
      <w:r>
        <w:rPr>
          <w:rFonts w:hint="eastAsia" w:eastAsia="方正仿宋_GBK"/>
          <w:sz w:val="32"/>
          <w:szCs w:val="32"/>
        </w:rPr>
        <w:t>个，</w:t>
      </w:r>
      <w:r>
        <w:rPr>
          <w:rFonts w:eastAsia="方正仿宋_GBK"/>
          <w:sz w:val="32"/>
          <w:szCs w:val="32"/>
        </w:rPr>
        <w:t>各机构规范简称</w:t>
      </w:r>
      <w:r>
        <w:rPr>
          <w:rFonts w:hint="eastAsia" w:eastAsia="方正仿宋_GBK"/>
          <w:sz w:val="32"/>
          <w:szCs w:val="32"/>
        </w:rPr>
        <w:t>依次为：</w:t>
      </w:r>
      <w:r>
        <w:rPr>
          <w:rFonts w:hint="eastAsia" w:ascii="方正仿宋_GBK" w:eastAsia="方正仿宋_GBK" w:cs="仿宋_GB2312"/>
          <w:sz w:val="32"/>
          <w:szCs w:val="32"/>
        </w:rPr>
        <w:t>办公室、应急指挥中心、综合防治科、安全生产综合协调科</w:t>
      </w:r>
      <w:r>
        <w:rPr>
          <w:rFonts w:hint="eastAsia" w:ascii="宋体" w:hAnsi="宋体" w:eastAsia="方正仿宋_GBK"/>
          <w:sz w:val="32"/>
          <w:szCs w:val="32"/>
        </w:rPr>
        <w:t>（重庆市江津区安全生产委员会办公室）</w:t>
      </w:r>
      <w:r>
        <w:rPr>
          <w:rFonts w:hint="eastAsia" w:ascii="方正仿宋_GBK" w:eastAsia="方正仿宋_GBK" w:cs="仿宋_GB2312"/>
          <w:sz w:val="32"/>
          <w:szCs w:val="32"/>
        </w:rPr>
        <w:t>、</w:t>
      </w:r>
      <w:r>
        <w:rPr>
          <w:rFonts w:hint="eastAsia" w:ascii="宋体" w:hAnsi="宋体" w:eastAsia="方正仿宋_GBK"/>
          <w:sz w:val="32"/>
          <w:szCs w:val="32"/>
        </w:rPr>
        <w:t>危险化学品安全监督管理科（行政审批科）</w:t>
      </w:r>
      <w:r>
        <w:rPr>
          <w:rFonts w:ascii="宋体" w:hAnsi="宋体" w:eastAsia="方正仿宋_GBK"/>
          <w:sz w:val="32"/>
          <w:szCs w:val="32"/>
        </w:rPr>
        <w:t>、</w:t>
      </w:r>
      <w:r>
        <w:rPr>
          <w:rFonts w:hint="eastAsia" w:ascii="宋体" w:hAnsi="宋体" w:eastAsia="方正仿宋_GBK"/>
          <w:sz w:val="32"/>
          <w:szCs w:val="32"/>
        </w:rPr>
        <w:t>工矿商贸安全监督管理科</w:t>
      </w:r>
      <w:r>
        <w:rPr>
          <w:rFonts w:ascii="宋体" w:hAnsi="宋体" w:eastAsia="方正仿宋_GBK"/>
          <w:sz w:val="32"/>
          <w:szCs w:val="32"/>
        </w:rPr>
        <w:t>、</w:t>
      </w:r>
      <w:r>
        <w:rPr>
          <w:rFonts w:hint="eastAsia" w:ascii="宋体" w:hAnsi="宋体" w:eastAsia="方正仿宋_GBK"/>
          <w:sz w:val="32"/>
          <w:szCs w:val="32"/>
        </w:rPr>
        <w:t>装备财务科</w:t>
      </w:r>
      <w:r>
        <w:rPr>
          <w:rFonts w:hint="eastAsia" w:eastAsia="方正仿宋_GBK"/>
          <w:sz w:val="32"/>
          <w:szCs w:val="32"/>
        </w:rPr>
        <w:t>。</w:t>
      </w:r>
      <w:r>
        <w:rPr>
          <w:rFonts w:hint="eastAsia" w:eastAsia="方正仿宋_GBK"/>
          <w:sz w:val="32"/>
          <w:szCs w:val="32"/>
          <w:lang w:eastAsia="zh-CN"/>
        </w:rPr>
        <w:t>（</w:t>
      </w:r>
      <w:r>
        <w:rPr>
          <w:rFonts w:hint="eastAsia" w:eastAsia="方正仿宋_GBK"/>
          <w:sz w:val="32"/>
          <w:szCs w:val="32"/>
          <w:lang w:val="en-US" w:eastAsia="zh-CN"/>
        </w:rPr>
        <w:t>2</w:t>
      </w:r>
      <w:r>
        <w:rPr>
          <w:rFonts w:hint="eastAsia" w:eastAsia="方正仿宋_GBK"/>
          <w:sz w:val="32"/>
          <w:szCs w:val="32"/>
          <w:lang w:eastAsia="zh-CN"/>
        </w:rPr>
        <w:t>）</w:t>
      </w:r>
      <w:r>
        <w:rPr>
          <w:rFonts w:hint="eastAsia" w:ascii="方正仿宋_GBK" w:eastAsia="方正仿宋_GBK" w:cs="仿宋_GB2312"/>
          <w:sz w:val="32"/>
          <w:szCs w:val="32"/>
        </w:rPr>
        <w:t>重庆市江津区应急管理综合行政执法支队内设机构5个，</w:t>
      </w:r>
      <w:r>
        <w:rPr>
          <w:rFonts w:eastAsia="方正仿宋_GBK"/>
          <w:sz w:val="32"/>
          <w:szCs w:val="32"/>
        </w:rPr>
        <w:t>各机构规范简称</w:t>
      </w:r>
      <w:r>
        <w:rPr>
          <w:rFonts w:hint="eastAsia" w:eastAsia="方正仿宋_GBK"/>
          <w:sz w:val="32"/>
          <w:szCs w:val="32"/>
        </w:rPr>
        <w:t>依次为</w:t>
      </w:r>
      <w:r>
        <w:rPr>
          <w:rFonts w:eastAsia="方正仿宋_GBK"/>
          <w:sz w:val="32"/>
          <w:szCs w:val="32"/>
        </w:rPr>
        <w:t>：</w:t>
      </w:r>
      <w:r>
        <w:rPr>
          <w:rFonts w:hint="eastAsia" w:ascii="方正仿宋_GBK" w:eastAsia="方正仿宋_GBK" w:cs="仿宋_GB2312"/>
          <w:sz w:val="32"/>
          <w:szCs w:val="32"/>
        </w:rPr>
        <w:t>勤务大队、工矿商贸大队、危化品大队、自然灾害大队、事故调查大队。</w:t>
      </w:r>
      <w:r>
        <w:rPr>
          <w:rFonts w:hint="eastAsia" w:ascii="方正仿宋_GBK" w:eastAsia="方正仿宋_GBK" w:cs="仿宋_GB2312"/>
          <w:sz w:val="32"/>
          <w:szCs w:val="32"/>
          <w:lang w:eastAsia="zh-CN"/>
        </w:rPr>
        <w:t>（</w:t>
      </w:r>
      <w:r>
        <w:rPr>
          <w:rFonts w:hint="eastAsia" w:ascii="方正仿宋_GBK" w:eastAsia="方正仿宋_GBK" w:cs="仿宋_GB2312"/>
          <w:sz w:val="32"/>
          <w:szCs w:val="32"/>
          <w:lang w:val="en-US" w:eastAsia="zh-CN"/>
        </w:rPr>
        <w:t>3</w:t>
      </w:r>
      <w:r>
        <w:rPr>
          <w:rFonts w:hint="eastAsia" w:ascii="方正仿宋_GBK" w:eastAsia="方正仿宋_GBK" w:cs="仿宋_GB2312"/>
          <w:sz w:val="32"/>
          <w:szCs w:val="32"/>
          <w:lang w:eastAsia="zh-CN"/>
        </w:rPr>
        <w:t>）</w:t>
      </w:r>
      <w:r>
        <w:rPr>
          <w:rFonts w:hint="eastAsia" w:ascii="方正仿宋_GBK" w:eastAsia="方正仿宋_GBK" w:cs="仿宋_GB2312"/>
          <w:sz w:val="32"/>
          <w:szCs w:val="32"/>
        </w:rPr>
        <w:t>重庆市江津区应急救援服务中心内设机构10个，各机构规范简称为：综合科、协调科、</w:t>
      </w:r>
      <w:r>
        <w:rPr>
          <w:rFonts w:hint="eastAsia" w:ascii="宋体" w:hAnsi="宋体" w:eastAsia="方正仿宋_GBK" w:cs="方正仿宋_GBK"/>
          <w:color w:val="auto"/>
          <w:sz w:val="32"/>
          <w:szCs w:val="32"/>
          <w:lang w:val="en-US" w:eastAsia="zh-CN" w:bidi="ar-SA"/>
        </w:rPr>
        <w:t>应急装备和信息化科</w:t>
      </w:r>
      <w:r>
        <w:rPr>
          <w:rFonts w:hint="eastAsia" w:ascii="方正仿宋_GBK" w:eastAsia="方正仿宋_GBK" w:cs="仿宋_GB2312"/>
          <w:sz w:val="32"/>
          <w:szCs w:val="32"/>
        </w:rPr>
        <w:t>、救灾减灾科、防汛抗旱和地质灾害应急科、</w:t>
      </w:r>
      <w:r>
        <w:rPr>
          <w:rFonts w:hint="eastAsia" w:ascii="方正仿宋_GBK" w:eastAsia="方正仿宋_GBK" w:cs="仿宋_GB2312"/>
          <w:sz w:val="32"/>
          <w:szCs w:val="32"/>
          <w:lang w:val="en-US" w:eastAsia="zh-CN"/>
        </w:rPr>
        <w:t>防震</w:t>
      </w:r>
      <w:r>
        <w:rPr>
          <w:rFonts w:hint="eastAsia" w:ascii="方正仿宋_GBK" w:eastAsia="方正仿宋_GBK" w:cs="仿宋_GB2312"/>
          <w:sz w:val="32"/>
          <w:szCs w:val="32"/>
        </w:rPr>
        <w:t>减灾应急科、森林防火应急科、生产安全事故应急科、宣教科、安全生产资格管理科。</w:t>
      </w:r>
    </w:p>
    <w:p>
      <w:pPr>
        <w:keepNext w:val="0"/>
        <w:keepLines w:val="0"/>
        <w:pageBreakBefore w:val="0"/>
        <w:kinsoku/>
        <w:wordWrap/>
        <w:overflowPunct/>
        <w:topLinePunct w:val="0"/>
        <w:autoSpaceDN/>
        <w:bidi w:val="0"/>
        <w:spacing w:line="579" w:lineRule="exact"/>
        <w:ind w:firstLine="640" w:firstLineChars="200"/>
        <w:jc w:val="both"/>
        <w:textAlignment w:val="auto"/>
        <w:outlineLvl w:val="0"/>
        <w:rPr>
          <w:rFonts w:ascii="宋体" w:hAnsi="宋体" w:eastAsia="方正仿宋_GBK" w:cs="方正仿宋_GBK"/>
          <w:kern w:val="0"/>
          <w:sz w:val="32"/>
          <w:szCs w:val="32"/>
        </w:rPr>
      </w:pPr>
      <w:r>
        <w:rPr>
          <w:rFonts w:hint="eastAsia" w:ascii="方正仿宋_GBK" w:eastAsia="方正仿宋_GBK" w:cs="仿宋_GB2312"/>
          <w:sz w:val="32"/>
          <w:szCs w:val="32"/>
        </w:rPr>
        <w:t>部门人员编制76人，年</w:t>
      </w:r>
      <w:r>
        <w:rPr>
          <w:rFonts w:hint="eastAsia" w:ascii="方正仿宋_GBK" w:eastAsia="方正仿宋_GBK" w:cs="仿宋_GB2312"/>
          <w:sz w:val="32"/>
          <w:szCs w:val="32"/>
          <w:lang w:val="en-US" w:eastAsia="zh-CN"/>
        </w:rPr>
        <w:t>末</w:t>
      </w:r>
      <w:r>
        <w:rPr>
          <w:rFonts w:hint="eastAsia" w:ascii="方正仿宋_GBK" w:eastAsia="方正仿宋_GBK" w:cs="仿宋_GB2312"/>
          <w:sz w:val="32"/>
          <w:szCs w:val="32"/>
        </w:rPr>
        <w:t>实有人数71人。</w:t>
      </w:r>
    </w:p>
    <w:p>
      <w:pPr>
        <w:keepNext w:val="0"/>
        <w:keepLines w:val="0"/>
        <w:pageBreakBefore w:val="0"/>
        <w:kinsoku/>
        <w:wordWrap/>
        <w:overflowPunct/>
        <w:topLinePunct w:val="0"/>
        <w:autoSpaceDN/>
        <w:bidi w:val="0"/>
        <w:spacing w:line="579" w:lineRule="exact"/>
        <w:ind w:firstLine="640" w:firstLineChars="200"/>
        <w:jc w:val="both"/>
        <w:textAlignment w:val="auto"/>
        <w:outlineLvl w:val="0"/>
        <w:rPr>
          <w:rFonts w:ascii="宋体" w:hAnsi="宋体" w:eastAsia="方正黑体_GBK" w:cs="方正黑体_GBK"/>
          <w:sz w:val="32"/>
          <w:szCs w:val="32"/>
        </w:rPr>
      </w:pPr>
      <w:r>
        <w:rPr>
          <w:rFonts w:hint="eastAsia" w:ascii="宋体" w:hAnsi="宋体" w:eastAsia="方正黑体_GBK" w:cs="方正黑体_GBK"/>
          <w:sz w:val="32"/>
          <w:szCs w:val="32"/>
        </w:rPr>
        <w:t>二、部门决算情况</w:t>
      </w:r>
    </w:p>
    <w:p>
      <w:pPr>
        <w:keepNext w:val="0"/>
        <w:keepLines w:val="0"/>
        <w:pageBreakBefore w:val="0"/>
        <w:kinsoku/>
        <w:wordWrap/>
        <w:overflowPunct/>
        <w:topLinePunct w:val="0"/>
        <w:autoSpaceDN/>
        <w:bidi w:val="0"/>
        <w:spacing w:line="579" w:lineRule="exact"/>
        <w:ind w:firstLine="640" w:firstLineChars="200"/>
        <w:jc w:val="both"/>
        <w:textAlignment w:val="auto"/>
        <w:outlineLvl w:val="1"/>
        <w:rPr>
          <w:rFonts w:ascii="宋体" w:hAnsi="宋体" w:eastAsia="方正楷体_GBK" w:cs="方正楷体_GBK"/>
          <w:sz w:val="32"/>
          <w:szCs w:val="32"/>
        </w:rPr>
      </w:pPr>
      <w:r>
        <w:rPr>
          <w:rFonts w:hint="eastAsia" w:ascii="宋体" w:hAnsi="宋体" w:eastAsia="方正楷体_GBK" w:cs="方正楷体_GBK"/>
          <w:sz w:val="32"/>
          <w:szCs w:val="32"/>
        </w:rPr>
        <w:t>（一）部门收支总体情况</w:t>
      </w:r>
    </w:p>
    <w:p>
      <w:pPr>
        <w:keepNext w:val="0"/>
        <w:keepLines w:val="0"/>
        <w:pageBreakBefore w:val="0"/>
        <w:kinsoku/>
        <w:wordWrap/>
        <w:overflowPunct/>
        <w:topLinePunct w:val="0"/>
        <w:autoSpaceDN/>
        <w:bidi w:val="0"/>
        <w:spacing w:line="579" w:lineRule="exact"/>
        <w:ind w:firstLine="643" w:firstLineChars="200"/>
        <w:jc w:val="both"/>
        <w:textAlignment w:val="auto"/>
        <w:rPr>
          <w:rFonts w:ascii="宋体" w:hAnsi="宋体" w:eastAsia="方正仿宋_GBK" w:cs="方正仿宋_GBK"/>
          <w:b/>
          <w:bCs/>
          <w:sz w:val="32"/>
          <w:szCs w:val="32"/>
        </w:rPr>
      </w:pPr>
      <w:r>
        <w:rPr>
          <w:rFonts w:hint="eastAsia" w:ascii="宋体" w:hAnsi="宋体" w:eastAsia="方正仿宋_GBK" w:cs="方正仿宋_GBK"/>
          <w:b/>
          <w:bCs/>
          <w:sz w:val="32"/>
          <w:szCs w:val="32"/>
        </w:rPr>
        <w:t>1.收入支出总体情况。</w:t>
      </w:r>
      <w:r>
        <w:rPr>
          <w:rFonts w:hint="eastAsia" w:ascii="宋体" w:hAnsi="宋体" w:eastAsia="方正仿宋_GBK" w:cs="方正仿宋_GBK"/>
          <w:sz w:val="32"/>
          <w:szCs w:val="32"/>
        </w:rPr>
        <w:t>2024年度收入总计3519.80万元，支出总计3519.80万元。收支较上年减少79.89万元，</w:t>
      </w:r>
      <w:r>
        <w:rPr>
          <w:rFonts w:hint="eastAsia" w:ascii="宋体" w:hAnsi="宋体" w:eastAsia="方正仿宋_GBK" w:cs="方正仿宋_GBK"/>
          <w:sz w:val="32"/>
          <w:szCs w:val="32"/>
          <w:lang w:val="en-US" w:eastAsia="zh-CN"/>
        </w:rPr>
        <w:t>下降</w:t>
      </w:r>
      <w:r>
        <w:rPr>
          <w:rFonts w:hint="eastAsia" w:ascii="宋体" w:hAnsi="宋体" w:eastAsia="方正仿宋_GBK" w:cs="方正仿宋_GBK"/>
          <w:sz w:val="32"/>
          <w:szCs w:val="32"/>
        </w:rPr>
        <w:t>2.22%，主要原因为响应政府“过紧日子过苦日子”号召，</w:t>
      </w:r>
      <w:r>
        <w:rPr>
          <w:rFonts w:hint="eastAsia" w:ascii="宋体" w:hAnsi="宋体" w:eastAsia="方正仿宋_GBK" w:cs="方正仿宋_GBK"/>
          <w:sz w:val="32"/>
          <w:szCs w:val="32"/>
          <w:lang w:eastAsia="zh-CN"/>
        </w:rPr>
        <w:t>压减公用经费和项目资金</w:t>
      </w:r>
      <w:r>
        <w:rPr>
          <w:rFonts w:hint="eastAsia" w:ascii="宋体" w:hAnsi="宋体" w:eastAsia="方正仿宋_GBK" w:cs="方正仿宋_GBK"/>
          <w:sz w:val="32"/>
          <w:szCs w:val="32"/>
        </w:rPr>
        <w:t>，本年收支总量减少。</w:t>
      </w:r>
    </w:p>
    <w:p>
      <w:pPr>
        <w:keepNext w:val="0"/>
        <w:keepLines w:val="0"/>
        <w:pageBreakBefore w:val="0"/>
        <w:kinsoku/>
        <w:wordWrap/>
        <w:overflowPunct/>
        <w:topLinePunct w:val="0"/>
        <w:autoSpaceDN/>
        <w:bidi w:val="0"/>
        <w:spacing w:line="579" w:lineRule="exact"/>
        <w:ind w:firstLine="643" w:firstLineChars="200"/>
        <w:jc w:val="both"/>
        <w:textAlignment w:val="auto"/>
        <w:rPr>
          <w:rFonts w:ascii="宋体" w:hAnsi="宋体" w:eastAsia="方正仿宋_GBK" w:cs="方正仿宋_GBK"/>
          <w:b/>
          <w:bCs/>
          <w:sz w:val="32"/>
          <w:szCs w:val="32"/>
        </w:rPr>
      </w:pPr>
      <w:r>
        <w:rPr>
          <w:rFonts w:hint="eastAsia" w:ascii="宋体" w:hAnsi="宋体" w:eastAsia="方正仿宋_GBK" w:cs="方正仿宋_GBK"/>
          <w:b/>
          <w:bCs/>
          <w:sz w:val="32"/>
          <w:szCs w:val="32"/>
        </w:rPr>
        <w:t>2.收入情况。</w:t>
      </w:r>
      <w:r>
        <w:rPr>
          <w:rFonts w:hint="eastAsia" w:ascii="宋体" w:hAnsi="宋体" w:eastAsia="方正仿宋_GBK" w:cs="方正仿宋_GBK"/>
          <w:sz w:val="32"/>
          <w:szCs w:val="32"/>
        </w:rPr>
        <w:t>2024年度本年收入合计3519.80万元，较上年减少79.89万元，</w:t>
      </w:r>
      <w:r>
        <w:rPr>
          <w:rFonts w:hint="eastAsia" w:ascii="宋体" w:hAnsi="宋体" w:eastAsia="方正仿宋_GBK" w:cs="方正仿宋_GBK"/>
          <w:sz w:val="32"/>
          <w:szCs w:val="32"/>
          <w:lang w:val="en-US" w:eastAsia="zh-CN"/>
        </w:rPr>
        <w:t>下降</w:t>
      </w:r>
      <w:r>
        <w:rPr>
          <w:rFonts w:hint="eastAsia" w:ascii="宋体" w:hAnsi="宋体" w:eastAsia="方正仿宋_GBK" w:cs="方正仿宋_GBK"/>
          <w:sz w:val="32"/>
          <w:szCs w:val="32"/>
        </w:rPr>
        <w:t>2.22%，主要原因为响应政府“过紧日子过苦日子”号召，</w:t>
      </w:r>
      <w:r>
        <w:rPr>
          <w:rFonts w:hint="eastAsia" w:ascii="宋体" w:hAnsi="宋体" w:eastAsia="方正仿宋_GBK" w:cs="方正仿宋_GBK"/>
          <w:sz w:val="32"/>
          <w:szCs w:val="32"/>
          <w:lang w:eastAsia="zh-CN"/>
        </w:rPr>
        <w:t>压减公用经费和项目资金收入</w:t>
      </w:r>
      <w:r>
        <w:rPr>
          <w:rFonts w:hint="eastAsia" w:ascii="宋体" w:hAnsi="宋体" w:eastAsia="方正仿宋_GBK" w:cs="方正仿宋_GBK"/>
          <w:sz w:val="32"/>
          <w:szCs w:val="32"/>
        </w:rPr>
        <w:t>，本年收入减少。其中：财政拨款收入3519.80万元，占比100%。</w:t>
      </w:r>
      <w:r>
        <w:rPr>
          <w:rFonts w:ascii="方正仿宋_GBK" w:hAnsi="方正仿宋_GBK" w:eastAsia="方正仿宋_GBK" w:cs="方正仿宋_GBK"/>
          <w:sz w:val="32"/>
          <w:szCs w:val="32"/>
          <w:shd w:val="clear" w:color="auto" w:fill="FFFFFF"/>
        </w:rPr>
        <w:t>此外，使用年初结转和结余</w:t>
      </w:r>
      <w:r>
        <w:rPr>
          <w:rFonts w:hint="eastAsia" w:ascii="方正仿宋_GBK" w:hAnsi="方正仿宋_GBK" w:eastAsia="方正仿宋_GBK" w:cs="方正仿宋_GBK"/>
          <w:sz w:val="32"/>
          <w:szCs w:val="32"/>
          <w:shd w:val="clear" w:color="auto" w:fill="FFFFFF"/>
        </w:rPr>
        <w:t>0</w:t>
      </w:r>
      <w:r>
        <w:rPr>
          <w:rFonts w:ascii="方正仿宋_GBK" w:hAnsi="方正仿宋_GBK" w:eastAsia="方正仿宋_GBK" w:cs="方正仿宋_GBK"/>
          <w:sz w:val="32"/>
          <w:szCs w:val="32"/>
          <w:shd w:val="clear" w:color="auto" w:fill="FFFFFF"/>
        </w:rPr>
        <w:t>万元。</w:t>
      </w:r>
    </w:p>
    <w:p>
      <w:pPr>
        <w:keepNext w:val="0"/>
        <w:keepLines w:val="0"/>
        <w:pageBreakBefore w:val="0"/>
        <w:kinsoku/>
        <w:wordWrap/>
        <w:overflowPunct/>
        <w:topLinePunct w:val="0"/>
        <w:autoSpaceDN/>
        <w:bidi w:val="0"/>
        <w:spacing w:line="579" w:lineRule="exact"/>
        <w:ind w:firstLine="643" w:firstLineChars="200"/>
        <w:jc w:val="both"/>
        <w:textAlignment w:val="auto"/>
        <w:rPr>
          <w:rFonts w:ascii="宋体" w:hAnsi="宋体" w:eastAsia="方正仿宋_GBK" w:cs="方正仿宋_GBK"/>
          <w:b/>
          <w:bCs/>
          <w:sz w:val="32"/>
          <w:szCs w:val="32"/>
        </w:rPr>
      </w:pPr>
      <w:r>
        <w:rPr>
          <w:rFonts w:hint="eastAsia" w:ascii="宋体" w:hAnsi="宋体" w:eastAsia="方正仿宋_GBK" w:cs="方正仿宋_GBK"/>
          <w:b/>
          <w:bCs/>
          <w:sz w:val="32"/>
          <w:szCs w:val="32"/>
        </w:rPr>
        <w:t>3.支出情况。</w:t>
      </w:r>
      <w:r>
        <w:rPr>
          <w:rFonts w:hint="eastAsia" w:ascii="宋体" w:hAnsi="宋体" w:eastAsia="方正仿宋_GBK" w:cs="方正仿宋_GBK"/>
          <w:sz w:val="32"/>
          <w:szCs w:val="32"/>
        </w:rPr>
        <w:t>2024年度本年支出合计3519.80万元，较上年减少79.89万元，</w:t>
      </w:r>
      <w:r>
        <w:rPr>
          <w:rFonts w:hint="eastAsia" w:ascii="宋体" w:hAnsi="宋体" w:eastAsia="方正仿宋_GBK" w:cs="方正仿宋_GBK"/>
          <w:sz w:val="32"/>
          <w:szCs w:val="32"/>
          <w:lang w:val="en-US" w:eastAsia="zh-CN"/>
        </w:rPr>
        <w:t>下降</w:t>
      </w:r>
      <w:r>
        <w:rPr>
          <w:rFonts w:hint="eastAsia" w:ascii="宋体" w:hAnsi="宋体" w:eastAsia="方正仿宋_GBK" w:cs="方正仿宋_GBK"/>
          <w:sz w:val="32"/>
          <w:szCs w:val="32"/>
        </w:rPr>
        <w:t>2.22%，主要原因为响应政府“过紧日子过苦日子”号召，</w:t>
      </w:r>
      <w:r>
        <w:rPr>
          <w:rFonts w:hint="eastAsia" w:ascii="宋体" w:hAnsi="宋体" w:eastAsia="方正仿宋_GBK" w:cs="方正仿宋_GBK"/>
          <w:sz w:val="32"/>
          <w:szCs w:val="32"/>
          <w:lang w:eastAsia="zh-CN"/>
        </w:rPr>
        <w:t>压减公用经费和项目资金</w:t>
      </w:r>
      <w:r>
        <w:rPr>
          <w:rFonts w:hint="eastAsia" w:ascii="宋体" w:hAnsi="宋体" w:eastAsia="方正仿宋_GBK" w:cs="方正仿宋_GBK"/>
          <w:sz w:val="32"/>
          <w:szCs w:val="32"/>
        </w:rPr>
        <w:t>支出，本年支出减少。其中</w:t>
      </w:r>
      <w:r>
        <w:rPr>
          <w:rFonts w:hint="eastAsia" w:ascii="宋体" w:hAnsi="宋体" w:eastAsia="方正仿宋_GBK" w:cs="方正仿宋_GBK"/>
          <w:sz w:val="32"/>
          <w:szCs w:val="32"/>
          <w:lang w:eastAsia="zh-CN"/>
        </w:rPr>
        <w:t>：</w:t>
      </w:r>
      <w:r>
        <w:rPr>
          <w:rFonts w:hint="eastAsia" w:ascii="宋体" w:hAnsi="宋体" w:eastAsia="方正仿宋_GBK" w:cs="方正仿宋_GBK"/>
          <w:sz w:val="32"/>
          <w:szCs w:val="32"/>
        </w:rPr>
        <w:t>基本支出2006.10万元，占比56.99%；项目支出1513.70万元，占比43.01%。</w:t>
      </w:r>
    </w:p>
    <w:p>
      <w:pPr>
        <w:keepNext w:val="0"/>
        <w:keepLines w:val="0"/>
        <w:pageBreakBefore w:val="0"/>
        <w:kinsoku/>
        <w:wordWrap/>
        <w:overflowPunct/>
        <w:topLinePunct w:val="0"/>
        <w:autoSpaceDN/>
        <w:bidi w:val="0"/>
        <w:spacing w:line="579" w:lineRule="exact"/>
        <w:ind w:firstLine="640" w:firstLineChars="200"/>
        <w:jc w:val="both"/>
        <w:textAlignment w:val="auto"/>
        <w:rPr>
          <w:rFonts w:ascii="宋体" w:hAnsi="宋体" w:eastAsia="方正仿宋_GBK" w:cs="方正仿宋_GBK"/>
          <w:kern w:val="0"/>
          <w:sz w:val="32"/>
          <w:szCs w:val="32"/>
        </w:rPr>
      </w:pPr>
      <w:r>
        <w:rPr>
          <w:rFonts w:hint="eastAsia" w:ascii="宋体" w:hAnsi="宋体" w:eastAsia="方正仿宋_GBK" w:cs="方正仿宋_GBK"/>
          <w:kern w:val="0"/>
          <w:sz w:val="32"/>
          <w:szCs w:val="32"/>
        </w:rPr>
        <w:t>4.</w:t>
      </w:r>
      <w:r>
        <w:rPr>
          <w:rFonts w:hint="eastAsia" w:ascii="宋体" w:hAnsi="宋体" w:eastAsia="方正仿宋_GBK" w:cs="方正仿宋_GBK"/>
          <w:b/>
          <w:bCs/>
          <w:sz w:val="32"/>
          <w:szCs w:val="32"/>
        </w:rPr>
        <w:t>结转结余情况。</w:t>
      </w:r>
      <w:r>
        <w:rPr>
          <w:rFonts w:hint="eastAsia" w:ascii="宋体" w:hAnsi="宋体" w:eastAsia="方正仿宋_GBK" w:cs="方正仿宋_GBK"/>
          <w:sz w:val="32"/>
          <w:szCs w:val="32"/>
        </w:rPr>
        <w:t>2024年度年末结转和结余0万元，与2023年度持平</w:t>
      </w:r>
      <w:r>
        <w:rPr>
          <w:rFonts w:hint="eastAsia" w:ascii="宋体" w:hAnsi="宋体" w:eastAsia="方正仿宋_GBK" w:cs="方正仿宋_GBK"/>
          <w:kern w:val="0"/>
          <w:sz w:val="32"/>
          <w:szCs w:val="32"/>
        </w:rPr>
        <w:t>。</w:t>
      </w:r>
    </w:p>
    <w:p>
      <w:pPr>
        <w:keepNext w:val="0"/>
        <w:keepLines w:val="0"/>
        <w:pageBreakBefore w:val="0"/>
        <w:kinsoku/>
        <w:wordWrap/>
        <w:overflowPunct/>
        <w:topLinePunct w:val="0"/>
        <w:autoSpaceDN/>
        <w:bidi w:val="0"/>
        <w:spacing w:line="579" w:lineRule="exact"/>
        <w:ind w:firstLine="640" w:firstLineChars="200"/>
        <w:jc w:val="both"/>
        <w:textAlignment w:val="auto"/>
        <w:outlineLvl w:val="1"/>
        <w:rPr>
          <w:rFonts w:ascii="宋体" w:hAnsi="宋体" w:eastAsia="方正楷体_GBK" w:cs="方正楷体_GBK"/>
          <w:sz w:val="32"/>
          <w:szCs w:val="32"/>
        </w:rPr>
      </w:pPr>
      <w:r>
        <w:rPr>
          <w:rFonts w:hint="eastAsia" w:ascii="宋体" w:hAnsi="宋体" w:eastAsia="方正楷体_GBK" w:cs="方正楷体_GBK"/>
          <w:sz w:val="32"/>
          <w:szCs w:val="32"/>
        </w:rPr>
        <w:t>（二）财政拨款收支总体情况</w:t>
      </w:r>
    </w:p>
    <w:p>
      <w:pPr>
        <w:keepNext w:val="0"/>
        <w:keepLines w:val="0"/>
        <w:pageBreakBefore w:val="0"/>
        <w:kinsoku/>
        <w:wordWrap/>
        <w:overflowPunct/>
        <w:topLinePunct w:val="0"/>
        <w:autoSpaceDN/>
        <w:bidi w:val="0"/>
        <w:spacing w:line="579" w:lineRule="exact"/>
        <w:ind w:firstLine="640" w:firstLineChars="200"/>
        <w:jc w:val="both"/>
        <w:textAlignment w:val="auto"/>
        <w:rPr>
          <w:rFonts w:ascii="宋体" w:hAnsi="宋体" w:eastAsia="方正仿宋_GBK" w:cs="方正仿宋_GBK"/>
          <w:sz w:val="32"/>
        </w:rPr>
      </w:pPr>
      <w:r>
        <w:rPr>
          <w:rFonts w:hint="eastAsia" w:ascii="宋体" w:hAnsi="宋体" w:eastAsia="方正仿宋_GBK" w:cs="方正仿宋_GBK"/>
          <w:sz w:val="32"/>
        </w:rPr>
        <w:t>2024年度财政拨款收入总计</w:t>
      </w:r>
      <w:r>
        <w:rPr>
          <w:rFonts w:hint="eastAsia" w:ascii="宋体" w:hAnsi="宋体" w:eastAsia="方正仿宋_GBK" w:cs="方正仿宋_GBK"/>
          <w:sz w:val="32"/>
          <w:szCs w:val="32"/>
        </w:rPr>
        <w:t>3519.80万元，支出总计3519.80万元。收支较上年减少79.89万元，</w:t>
      </w:r>
      <w:r>
        <w:rPr>
          <w:rFonts w:hint="eastAsia" w:ascii="宋体" w:hAnsi="宋体" w:eastAsia="方正仿宋_GBK" w:cs="方正仿宋_GBK"/>
          <w:sz w:val="32"/>
          <w:szCs w:val="32"/>
          <w:lang w:val="en-US" w:eastAsia="zh-CN"/>
        </w:rPr>
        <w:t>下降</w:t>
      </w:r>
      <w:r>
        <w:rPr>
          <w:rFonts w:hint="eastAsia" w:ascii="宋体" w:hAnsi="宋体" w:eastAsia="方正仿宋_GBK" w:cs="方正仿宋_GBK"/>
          <w:sz w:val="32"/>
          <w:szCs w:val="32"/>
        </w:rPr>
        <w:t>2.22%，主要原因为响应政府“过紧日子过苦日子”号召，</w:t>
      </w:r>
      <w:r>
        <w:rPr>
          <w:rFonts w:hint="eastAsia" w:ascii="宋体" w:hAnsi="宋体" w:eastAsia="方正仿宋_GBK" w:cs="方正仿宋_GBK"/>
          <w:sz w:val="32"/>
          <w:szCs w:val="32"/>
          <w:lang w:eastAsia="zh-CN"/>
        </w:rPr>
        <w:t>压减公用经费和项目资金财政拨款收支总数</w:t>
      </w:r>
      <w:r>
        <w:rPr>
          <w:rFonts w:hint="eastAsia" w:ascii="宋体" w:hAnsi="宋体" w:eastAsia="方正仿宋_GBK" w:cs="方正仿宋_GBK"/>
          <w:sz w:val="32"/>
          <w:szCs w:val="32"/>
        </w:rPr>
        <w:t>，本年财政拨款收支总量减少。</w:t>
      </w:r>
    </w:p>
    <w:p>
      <w:pPr>
        <w:keepNext w:val="0"/>
        <w:keepLines w:val="0"/>
        <w:pageBreakBefore w:val="0"/>
        <w:kinsoku/>
        <w:wordWrap/>
        <w:overflowPunct/>
        <w:topLinePunct w:val="0"/>
        <w:autoSpaceDN/>
        <w:bidi w:val="0"/>
        <w:spacing w:line="579" w:lineRule="exact"/>
        <w:ind w:firstLine="640" w:firstLineChars="200"/>
        <w:jc w:val="both"/>
        <w:textAlignment w:val="auto"/>
        <w:outlineLvl w:val="1"/>
        <w:rPr>
          <w:rFonts w:ascii="宋体" w:hAnsi="宋体" w:eastAsia="方正楷体_GBK" w:cs="方正楷体_GBK"/>
          <w:sz w:val="32"/>
          <w:szCs w:val="32"/>
        </w:rPr>
      </w:pPr>
      <w:r>
        <w:rPr>
          <w:rFonts w:hint="eastAsia" w:ascii="宋体" w:hAnsi="宋体" w:eastAsia="方正楷体_GBK" w:cs="方正楷体_GBK"/>
          <w:sz w:val="32"/>
          <w:szCs w:val="32"/>
        </w:rPr>
        <w:t>（三）一般公共预算财政拨款收支总体情况</w:t>
      </w:r>
    </w:p>
    <w:p>
      <w:pPr>
        <w:keepNext w:val="0"/>
        <w:keepLines w:val="0"/>
        <w:pageBreakBefore w:val="0"/>
        <w:numPr>
          <w:ilvl w:val="0"/>
          <w:numId w:val="1"/>
        </w:numPr>
        <w:kinsoku/>
        <w:wordWrap/>
        <w:overflowPunct/>
        <w:topLinePunct w:val="0"/>
        <w:autoSpaceDN/>
        <w:bidi w:val="0"/>
        <w:spacing w:line="579" w:lineRule="exact"/>
        <w:ind w:firstLine="643" w:firstLineChars="200"/>
        <w:jc w:val="both"/>
        <w:textAlignment w:val="auto"/>
        <w:rPr>
          <w:rFonts w:ascii="宋体" w:hAnsi="宋体" w:eastAsia="方正仿宋_GBK" w:cs="方正仿宋_GBK"/>
          <w:b/>
          <w:bCs/>
          <w:sz w:val="32"/>
        </w:rPr>
      </w:pPr>
      <w:r>
        <w:rPr>
          <w:rFonts w:hint="eastAsia" w:ascii="宋体" w:hAnsi="宋体" w:eastAsia="方正仿宋_GBK" w:cs="方正仿宋_GBK"/>
          <w:b/>
          <w:bCs/>
          <w:sz w:val="32"/>
        </w:rPr>
        <w:t>收入情况。</w:t>
      </w:r>
      <w:r>
        <w:rPr>
          <w:rFonts w:hint="eastAsia" w:ascii="宋体" w:hAnsi="宋体" w:eastAsia="方正仿宋_GBK" w:cs="方正仿宋_GBK"/>
          <w:sz w:val="32"/>
        </w:rPr>
        <w:t>2024年度一般公共预算财政拨款收入</w:t>
      </w:r>
      <w:r>
        <w:rPr>
          <w:rFonts w:hint="eastAsia" w:ascii="宋体" w:hAnsi="宋体" w:eastAsia="方正仿宋_GBK" w:cs="方正仿宋_GBK"/>
          <w:sz w:val="32"/>
          <w:szCs w:val="32"/>
        </w:rPr>
        <w:t>3519.80</w:t>
      </w:r>
      <w:r>
        <w:rPr>
          <w:rFonts w:hint="eastAsia" w:ascii="宋体" w:hAnsi="宋体" w:eastAsia="方正仿宋_GBK" w:cs="方正仿宋_GBK"/>
          <w:sz w:val="32"/>
        </w:rPr>
        <w:t>万元，较上年决算数</w:t>
      </w:r>
      <w:r>
        <w:rPr>
          <w:rFonts w:hint="eastAsia" w:ascii="宋体" w:hAnsi="宋体" w:eastAsia="方正仿宋_GBK" w:cs="方正仿宋_GBK"/>
          <w:sz w:val="32"/>
          <w:szCs w:val="32"/>
        </w:rPr>
        <w:t>减少79.89万元，</w:t>
      </w:r>
      <w:r>
        <w:rPr>
          <w:rFonts w:hint="eastAsia" w:ascii="宋体" w:hAnsi="宋体" w:eastAsia="方正仿宋_GBK" w:cs="方正仿宋_GBK"/>
          <w:sz w:val="32"/>
          <w:szCs w:val="32"/>
          <w:lang w:val="en-US" w:eastAsia="zh-CN"/>
        </w:rPr>
        <w:t>下降</w:t>
      </w:r>
      <w:r>
        <w:rPr>
          <w:rFonts w:hint="eastAsia" w:ascii="宋体" w:hAnsi="宋体" w:eastAsia="方正仿宋_GBK" w:cs="方正仿宋_GBK"/>
          <w:sz w:val="32"/>
          <w:szCs w:val="32"/>
        </w:rPr>
        <w:t>2.22%，主要原因为响应政府“过紧日子过苦日子”号召，</w:t>
      </w:r>
      <w:r>
        <w:rPr>
          <w:rFonts w:hint="eastAsia" w:ascii="宋体" w:hAnsi="宋体" w:eastAsia="方正仿宋_GBK" w:cs="方正仿宋_GBK"/>
          <w:sz w:val="32"/>
          <w:szCs w:val="32"/>
          <w:lang w:eastAsia="zh-CN"/>
        </w:rPr>
        <w:t>压减公用经费和项目资金</w:t>
      </w:r>
      <w:r>
        <w:rPr>
          <w:rFonts w:hint="eastAsia" w:ascii="宋体" w:hAnsi="宋体" w:eastAsia="方正仿宋_GBK" w:cs="方正仿宋_GBK"/>
          <w:sz w:val="32"/>
          <w:szCs w:val="32"/>
        </w:rPr>
        <w:t>收入，本年一般公共预算财政拨款收入减少</w:t>
      </w:r>
      <w:r>
        <w:rPr>
          <w:rFonts w:hint="eastAsia" w:ascii="宋体" w:hAnsi="宋体" w:eastAsia="方正仿宋_GBK" w:cs="方正仿宋_GBK"/>
          <w:sz w:val="32"/>
        </w:rPr>
        <w:t>。较年初预算数增加771.25万元，</w:t>
      </w:r>
      <w:r>
        <w:rPr>
          <w:rFonts w:hint="eastAsia" w:ascii="宋体" w:hAnsi="宋体" w:eastAsia="方正仿宋_GBK" w:cs="方正仿宋_GBK"/>
          <w:sz w:val="32"/>
          <w:lang w:val="en-US" w:eastAsia="zh-CN"/>
        </w:rPr>
        <w:t>上升</w:t>
      </w:r>
      <w:r>
        <w:rPr>
          <w:rFonts w:hint="eastAsia" w:ascii="宋体" w:hAnsi="宋体" w:eastAsia="方正仿宋_GBK" w:cs="方正仿宋_GBK"/>
          <w:sz w:val="32"/>
        </w:rPr>
        <w:t>28.06%，主要原因一是当年人员增加、补发以前年度津补贴及社会保障缴费基数增加，基本收入增加150.86万元；二是当年新增全市“互联网+执法”行动、“柴油一件事”平台运用前期准备</w:t>
      </w:r>
      <w:r>
        <w:rPr>
          <w:rFonts w:hint="eastAsia" w:ascii="宋体" w:hAnsi="宋体" w:eastAsia="方正仿宋_GBK" w:cs="方正仿宋_GBK"/>
          <w:sz w:val="32"/>
          <w:lang w:eastAsia="zh-CN"/>
        </w:rPr>
        <w:t>等多项</w:t>
      </w:r>
      <w:r>
        <w:rPr>
          <w:rFonts w:hint="eastAsia" w:ascii="宋体" w:hAnsi="宋体" w:eastAsia="方正仿宋_GBK" w:cs="方正仿宋_GBK"/>
          <w:sz w:val="32"/>
        </w:rPr>
        <w:t>工作增加</w:t>
      </w:r>
      <w:r>
        <w:rPr>
          <w:rFonts w:hint="eastAsia" w:ascii="宋体" w:hAnsi="宋体" w:eastAsia="方正仿宋_GBK" w:cs="方正仿宋_GBK"/>
          <w:sz w:val="32"/>
          <w:lang w:eastAsia="zh-CN"/>
        </w:rPr>
        <w:t>项目</w:t>
      </w:r>
      <w:r>
        <w:rPr>
          <w:rFonts w:hint="eastAsia" w:ascii="宋体" w:hAnsi="宋体" w:eastAsia="方正仿宋_GBK" w:cs="方正仿宋_GBK"/>
          <w:sz w:val="32"/>
        </w:rPr>
        <w:t>资金收入620.39万元。</w:t>
      </w:r>
      <w:r>
        <w:rPr>
          <w:rFonts w:ascii="方正仿宋_GBK" w:hAnsi="方正仿宋_GBK" w:eastAsia="方正仿宋_GBK" w:cs="方正仿宋_GBK"/>
          <w:sz w:val="32"/>
          <w:szCs w:val="32"/>
          <w:shd w:val="clear" w:color="auto" w:fill="FFFFFF"/>
        </w:rPr>
        <w:t>此外，年初财政拨款结转和结余</w:t>
      </w:r>
      <w:r>
        <w:rPr>
          <w:rFonts w:hint="eastAsia"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w:t>
      </w:r>
    </w:p>
    <w:p>
      <w:pPr>
        <w:keepNext w:val="0"/>
        <w:keepLines w:val="0"/>
        <w:pageBreakBefore w:val="0"/>
        <w:numPr>
          <w:ilvl w:val="0"/>
          <w:numId w:val="1"/>
        </w:numPr>
        <w:kinsoku/>
        <w:wordWrap/>
        <w:overflowPunct/>
        <w:topLinePunct w:val="0"/>
        <w:autoSpaceDN/>
        <w:bidi w:val="0"/>
        <w:spacing w:line="579" w:lineRule="exact"/>
        <w:ind w:firstLine="643" w:firstLineChars="200"/>
        <w:jc w:val="both"/>
        <w:textAlignment w:val="auto"/>
        <w:rPr>
          <w:rFonts w:ascii="宋体" w:hAnsi="宋体" w:eastAsia="方正仿宋_GBK" w:cs="方正仿宋_GBK"/>
          <w:b/>
          <w:bCs/>
          <w:sz w:val="32"/>
        </w:rPr>
      </w:pPr>
      <w:r>
        <w:rPr>
          <w:rFonts w:hint="eastAsia" w:ascii="宋体" w:hAnsi="宋体" w:eastAsia="方正仿宋_GBK" w:cs="方正仿宋_GBK"/>
          <w:b/>
          <w:bCs/>
          <w:sz w:val="32"/>
        </w:rPr>
        <w:t>支出情况。</w:t>
      </w:r>
      <w:r>
        <w:rPr>
          <w:rFonts w:hint="eastAsia" w:ascii="宋体" w:hAnsi="宋体" w:eastAsia="方正仿宋_GBK" w:cs="方正仿宋_GBK"/>
          <w:sz w:val="32"/>
        </w:rPr>
        <w:t>2024年度一般公共预算财政拨款支出</w:t>
      </w:r>
      <w:r>
        <w:rPr>
          <w:rFonts w:hint="eastAsia" w:ascii="宋体" w:hAnsi="宋体" w:eastAsia="方正仿宋_GBK" w:cs="方正仿宋_GBK"/>
          <w:sz w:val="32"/>
          <w:szCs w:val="32"/>
        </w:rPr>
        <w:t>3519.80</w:t>
      </w:r>
      <w:r>
        <w:rPr>
          <w:rFonts w:hint="eastAsia" w:ascii="宋体" w:hAnsi="宋体" w:eastAsia="方正仿宋_GBK" w:cs="方正仿宋_GBK"/>
          <w:sz w:val="32"/>
        </w:rPr>
        <w:t>万元，较上年决算数</w:t>
      </w:r>
      <w:r>
        <w:rPr>
          <w:rFonts w:hint="eastAsia" w:ascii="宋体" w:hAnsi="宋体" w:eastAsia="方正仿宋_GBK" w:cs="方正仿宋_GBK"/>
          <w:sz w:val="32"/>
          <w:szCs w:val="32"/>
        </w:rPr>
        <w:t>减少79.89万元，</w:t>
      </w:r>
      <w:r>
        <w:rPr>
          <w:rFonts w:hint="eastAsia" w:ascii="宋体" w:hAnsi="宋体" w:eastAsia="方正仿宋_GBK" w:cs="方正仿宋_GBK"/>
          <w:sz w:val="32"/>
          <w:szCs w:val="32"/>
          <w:lang w:val="en-US" w:eastAsia="zh-CN"/>
        </w:rPr>
        <w:t>下降</w:t>
      </w:r>
      <w:r>
        <w:rPr>
          <w:rFonts w:hint="eastAsia" w:ascii="宋体" w:hAnsi="宋体" w:eastAsia="方正仿宋_GBK" w:cs="方正仿宋_GBK"/>
          <w:sz w:val="32"/>
          <w:szCs w:val="32"/>
        </w:rPr>
        <w:t>2.22%，主要原因为响应政府“过紧日子过苦日子”号召，</w:t>
      </w:r>
      <w:r>
        <w:rPr>
          <w:rFonts w:hint="eastAsia" w:ascii="宋体" w:hAnsi="宋体" w:eastAsia="方正仿宋_GBK" w:cs="方正仿宋_GBK"/>
          <w:sz w:val="32"/>
          <w:szCs w:val="32"/>
          <w:lang w:eastAsia="zh-CN"/>
        </w:rPr>
        <w:t>压减公用经费和项目资金</w:t>
      </w:r>
      <w:r>
        <w:rPr>
          <w:rFonts w:hint="eastAsia" w:ascii="宋体" w:hAnsi="宋体" w:eastAsia="方正仿宋_GBK" w:cs="方正仿宋_GBK"/>
          <w:sz w:val="32"/>
          <w:szCs w:val="32"/>
        </w:rPr>
        <w:t>支出，本年一般公共预算财政拨款支出减少</w:t>
      </w:r>
      <w:r>
        <w:rPr>
          <w:rFonts w:hint="eastAsia" w:ascii="宋体" w:hAnsi="宋体" w:eastAsia="方正仿宋_GBK" w:cs="方正仿宋_GBK"/>
          <w:sz w:val="32"/>
        </w:rPr>
        <w:t>。较年初预算数增加771.25万元，</w:t>
      </w:r>
      <w:r>
        <w:rPr>
          <w:rFonts w:hint="eastAsia" w:ascii="宋体" w:hAnsi="宋体" w:eastAsia="方正仿宋_GBK" w:cs="方正仿宋_GBK"/>
          <w:sz w:val="32"/>
          <w:lang w:val="en-US" w:eastAsia="zh-CN"/>
        </w:rPr>
        <w:t>上升</w:t>
      </w:r>
      <w:r>
        <w:rPr>
          <w:rFonts w:hint="eastAsia" w:ascii="宋体" w:hAnsi="宋体" w:eastAsia="方正仿宋_GBK" w:cs="方正仿宋_GBK"/>
          <w:sz w:val="32"/>
        </w:rPr>
        <w:t>28.06%，主要原因一是当年人员增加、补发以前年度津补贴及社会保障缴费基数增加，基本支出增加150.86万元；二是当年新增全市“互联网+执法”行动、“柴油一件事”平台运用前期准备</w:t>
      </w:r>
      <w:r>
        <w:rPr>
          <w:rFonts w:hint="eastAsia" w:ascii="宋体" w:hAnsi="宋体" w:eastAsia="方正仿宋_GBK" w:cs="方正仿宋_GBK"/>
          <w:sz w:val="32"/>
          <w:lang w:eastAsia="zh-CN"/>
        </w:rPr>
        <w:t>等多项</w:t>
      </w:r>
      <w:r>
        <w:rPr>
          <w:rFonts w:hint="eastAsia" w:ascii="宋体" w:hAnsi="宋体" w:eastAsia="方正仿宋_GBK" w:cs="方正仿宋_GBK"/>
          <w:sz w:val="32"/>
        </w:rPr>
        <w:t>工作增加</w:t>
      </w:r>
      <w:r>
        <w:rPr>
          <w:rFonts w:hint="eastAsia" w:ascii="宋体" w:hAnsi="宋体" w:eastAsia="方正仿宋_GBK" w:cs="方正仿宋_GBK"/>
          <w:sz w:val="32"/>
          <w:lang w:eastAsia="zh-CN"/>
        </w:rPr>
        <w:t>项目</w:t>
      </w:r>
      <w:r>
        <w:rPr>
          <w:rFonts w:hint="eastAsia" w:ascii="宋体" w:hAnsi="宋体" w:eastAsia="方正仿宋_GBK" w:cs="方正仿宋_GBK"/>
          <w:sz w:val="32"/>
        </w:rPr>
        <w:t>资金收入620.39万元。</w:t>
      </w:r>
    </w:p>
    <w:p>
      <w:pPr>
        <w:keepNext w:val="0"/>
        <w:keepLines w:val="0"/>
        <w:pageBreakBefore w:val="0"/>
        <w:numPr>
          <w:ilvl w:val="0"/>
          <w:numId w:val="1"/>
        </w:numPr>
        <w:kinsoku/>
        <w:wordWrap/>
        <w:overflowPunct/>
        <w:topLinePunct w:val="0"/>
        <w:autoSpaceDN/>
        <w:bidi w:val="0"/>
        <w:spacing w:line="579" w:lineRule="exact"/>
        <w:ind w:firstLine="643" w:firstLineChars="200"/>
        <w:jc w:val="both"/>
        <w:textAlignment w:val="auto"/>
        <w:rPr>
          <w:rFonts w:ascii="宋体" w:hAnsi="宋体" w:eastAsia="方正仿宋_GBK" w:cs="方正仿宋_GBK"/>
          <w:b/>
          <w:bCs/>
          <w:sz w:val="32"/>
        </w:rPr>
      </w:pPr>
      <w:r>
        <w:rPr>
          <w:rFonts w:hint="eastAsia" w:ascii="宋体" w:hAnsi="宋体" w:eastAsia="方正仿宋_GBK" w:cs="方正仿宋_GBK"/>
          <w:b/>
          <w:bCs/>
          <w:sz w:val="32"/>
        </w:rPr>
        <w:t>结转结余情况。</w:t>
      </w:r>
      <w:r>
        <w:rPr>
          <w:rFonts w:hint="eastAsia" w:ascii="方正仿宋_GBK" w:hAnsi="方正仿宋_GBK" w:eastAsia="方正仿宋_GBK" w:cs="方正仿宋_GBK"/>
          <w:sz w:val="32"/>
          <w:szCs w:val="32"/>
          <w:shd w:val="clear" w:color="auto" w:fill="FFFFFF"/>
        </w:rPr>
        <w:t>2024年</w:t>
      </w:r>
      <w:r>
        <w:rPr>
          <w:rFonts w:ascii="方正仿宋_GBK" w:hAnsi="方正仿宋_GBK" w:eastAsia="方正仿宋_GBK" w:cs="方正仿宋_GBK"/>
          <w:sz w:val="32"/>
          <w:szCs w:val="32"/>
          <w:shd w:val="clear" w:color="auto" w:fill="FFFFFF"/>
        </w:rPr>
        <w:t>度年末一般公共预算财政拨款结转和结余</w:t>
      </w:r>
      <w:r>
        <w:rPr>
          <w:rFonts w:hint="eastAsia"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万元，与2023年度</w:t>
      </w:r>
      <w:r>
        <w:rPr>
          <w:rFonts w:hint="eastAsia" w:ascii="方正仿宋_GBK" w:hAnsi="方正仿宋_GBK" w:eastAsia="方正仿宋_GBK" w:cs="方正仿宋_GBK"/>
          <w:sz w:val="32"/>
          <w:szCs w:val="32"/>
          <w:shd w:val="clear" w:color="auto" w:fill="FFFFFF"/>
        </w:rPr>
        <w:t>持平。</w:t>
      </w:r>
    </w:p>
    <w:p>
      <w:pPr>
        <w:pStyle w:val="5"/>
        <w:keepNext w:val="0"/>
        <w:keepLines w:val="0"/>
        <w:pageBreakBefore w:val="0"/>
        <w:widowControl/>
        <w:numPr>
          <w:ilvl w:val="0"/>
          <w:numId w:val="1"/>
        </w:numPr>
        <w:kinsoku/>
        <w:wordWrap/>
        <w:overflowPunct/>
        <w:topLinePunct w:val="0"/>
        <w:autoSpaceDN/>
        <w:bidi w:val="0"/>
        <w:spacing w:before="0" w:beforeAutospacing="0" w:after="0" w:afterAutospacing="0" w:line="579" w:lineRule="exact"/>
        <w:ind w:firstLine="643" w:firstLineChars="200"/>
        <w:jc w:val="both"/>
        <w:textAlignment w:val="auto"/>
        <w:rPr>
          <w:rFonts w:ascii="宋体" w:hAnsi="宋体" w:eastAsia="方正仿宋_GBK" w:cs="方正仿宋_GBK"/>
          <w:sz w:val="32"/>
        </w:rPr>
      </w:pPr>
      <w:r>
        <w:rPr>
          <w:rFonts w:hint="eastAsia" w:ascii="宋体" w:hAnsi="宋体" w:eastAsia="方正仿宋_GBK" w:cs="方正仿宋_GBK"/>
          <w:b/>
          <w:bCs/>
          <w:kern w:val="2"/>
          <w:sz w:val="32"/>
        </w:rPr>
        <w:t>比较情况。</w:t>
      </w:r>
      <w:r>
        <w:rPr>
          <w:rFonts w:hint="eastAsia" w:ascii="宋体" w:hAnsi="宋体" w:eastAsia="方正仿宋_GBK" w:cs="方正仿宋_GBK"/>
          <w:sz w:val="32"/>
        </w:rPr>
        <w:t>本部门2024年度一般公共预算财政拨款支出主要用于以下几个方面：</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rPr>
          <w:rFonts w:ascii="宋体" w:hAnsi="宋体" w:eastAsia="方正仿宋_GBK" w:cs="方正仿宋_GBK"/>
          <w:sz w:val="32"/>
        </w:rPr>
      </w:pPr>
      <w:r>
        <w:rPr>
          <w:rFonts w:hint="eastAsia" w:ascii="宋体" w:hAnsi="宋体" w:eastAsia="方正仿宋_GBK" w:cs="方正仿宋_GBK"/>
          <w:sz w:val="32"/>
        </w:rPr>
        <w:t>（1）教育支出3.20万元，占比0.09%。较年初预算数减少6.12万元，</w:t>
      </w:r>
      <w:r>
        <w:rPr>
          <w:rFonts w:hint="eastAsia" w:ascii="宋体" w:hAnsi="宋体" w:eastAsia="方正仿宋_GBK" w:cs="方正仿宋_GBK"/>
          <w:sz w:val="32"/>
          <w:lang w:val="en-US" w:eastAsia="zh-CN"/>
        </w:rPr>
        <w:t>下降</w:t>
      </w:r>
      <w:r>
        <w:rPr>
          <w:rFonts w:hint="eastAsia" w:ascii="宋体" w:hAnsi="宋体" w:eastAsia="方正仿宋_GBK" w:cs="方正仿宋_GBK"/>
          <w:sz w:val="32"/>
        </w:rPr>
        <w:t>65.67%，主要原因是为节省部门开支，开展线上网络培训，减少教育培训支出。</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rPr>
          <w:rFonts w:ascii="宋体" w:hAnsi="宋体" w:eastAsia="方正仿宋_GBK" w:cs="方正仿宋_GBK"/>
          <w:sz w:val="32"/>
        </w:rPr>
      </w:pPr>
      <w:r>
        <w:rPr>
          <w:rFonts w:hint="eastAsia" w:ascii="宋体" w:hAnsi="宋体" w:eastAsia="方正仿宋_GBK" w:cs="方正仿宋_GBK"/>
          <w:sz w:val="32"/>
        </w:rPr>
        <w:t>（2）社会保障和就业支出344.60万元，占比9.79%，较年初预算数增加104.84万元，</w:t>
      </w:r>
      <w:r>
        <w:rPr>
          <w:rFonts w:hint="eastAsia" w:ascii="宋体" w:hAnsi="宋体" w:eastAsia="方正仿宋_GBK" w:cs="方正仿宋_GBK"/>
          <w:sz w:val="32"/>
          <w:lang w:val="en-US" w:eastAsia="zh-CN"/>
        </w:rPr>
        <w:t>上升</w:t>
      </w:r>
      <w:r>
        <w:rPr>
          <w:rFonts w:hint="eastAsia" w:ascii="宋体" w:hAnsi="宋体" w:eastAsia="方正仿宋_GBK" w:cs="方正仿宋_GBK"/>
          <w:sz w:val="32"/>
        </w:rPr>
        <w:t>43.73%，主要原因是人员增加及社会保障缴费基数增加，该项支出增加。</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rPr>
          <w:rFonts w:ascii="宋体" w:hAnsi="宋体" w:eastAsia="方正仿宋_GBK" w:cs="方正仿宋_GBK"/>
          <w:sz w:val="32"/>
        </w:rPr>
      </w:pPr>
      <w:r>
        <w:rPr>
          <w:rFonts w:hint="eastAsia" w:ascii="宋体" w:hAnsi="宋体" w:eastAsia="方正仿宋_GBK" w:cs="方正仿宋_GBK"/>
          <w:sz w:val="32"/>
        </w:rPr>
        <w:t>（3）卫生健康支出103.63万元，占比2.94%，较年初预算数减少4.47万元，</w:t>
      </w:r>
      <w:r>
        <w:rPr>
          <w:rFonts w:hint="eastAsia" w:ascii="宋体" w:hAnsi="宋体" w:eastAsia="方正仿宋_GBK" w:cs="方正仿宋_GBK"/>
          <w:sz w:val="32"/>
          <w:lang w:val="en-US" w:eastAsia="zh-CN"/>
        </w:rPr>
        <w:t>下降</w:t>
      </w:r>
      <w:r>
        <w:rPr>
          <w:rFonts w:hint="eastAsia" w:ascii="宋体" w:hAnsi="宋体" w:eastAsia="方正仿宋_GBK" w:cs="方正仿宋_GBK"/>
          <w:sz w:val="32"/>
        </w:rPr>
        <w:t>4.14%，主要原因是单位年中有人员退休，该项支出减少。</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rPr>
          <w:rFonts w:ascii="宋体" w:hAnsi="宋体" w:eastAsia="方正仿宋_GBK" w:cs="方正仿宋_GBK"/>
          <w:sz w:val="32"/>
        </w:rPr>
      </w:pPr>
      <w:r>
        <w:rPr>
          <w:rFonts w:hint="eastAsia" w:ascii="宋体" w:hAnsi="宋体" w:eastAsia="方正仿宋_GBK" w:cs="方正仿宋_GBK"/>
          <w:sz w:val="32"/>
        </w:rPr>
        <w:t>（4）住房保障支出100.88万元，占比2.87%，较年初预算数减少4.90万元，下降4.53%，主要原因单位年中有人员退休，该项支出减少。</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rPr>
          <w:rFonts w:ascii="宋体" w:hAnsi="宋体" w:eastAsia="方正仿宋_GBK" w:cs="方正仿宋_GBK"/>
          <w:sz w:val="32"/>
        </w:rPr>
      </w:pPr>
      <w:r>
        <w:rPr>
          <w:rFonts w:hint="eastAsia" w:ascii="宋体" w:hAnsi="宋体" w:eastAsia="方正仿宋_GBK" w:cs="方正仿宋_GBK"/>
          <w:sz w:val="32"/>
        </w:rPr>
        <w:t>（5）灾害防治及应急管理支出2967.49万元，占比84.31%，较年初预算数增加681.90万元，</w:t>
      </w:r>
      <w:r>
        <w:rPr>
          <w:rFonts w:hint="eastAsia" w:ascii="宋体" w:hAnsi="宋体" w:eastAsia="方正仿宋_GBK" w:cs="方正仿宋_GBK"/>
          <w:sz w:val="32"/>
          <w:lang w:val="en-US" w:eastAsia="zh-CN"/>
        </w:rPr>
        <w:t>上升</w:t>
      </w:r>
      <w:r>
        <w:rPr>
          <w:rFonts w:hint="eastAsia" w:ascii="宋体" w:hAnsi="宋体" w:eastAsia="方正仿宋_GBK" w:cs="方正仿宋_GBK"/>
          <w:sz w:val="32"/>
        </w:rPr>
        <w:t>29.83%，主要原因是当年新增全市“互联网+执法”行动、“柴油一件事”平台运用前期准备</w:t>
      </w:r>
      <w:r>
        <w:rPr>
          <w:rFonts w:hint="eastAsia" w:ascii="宋体" w:hAnsi="宋体" w:eastAsia="方正仿宋_GBK" w:cs="方正仿宋_GBK"/>
          <w:sz w:val="32"/>
          <w:lang w:eastAsia="zh-CN"/>
        </w:rPr>
        <w:t>等多项</w:t>
      </w:r>
      <w:r>
        <w:rPr>
          <w:rFonts w:hint="eastAsia" w:ascii="宋体" w:hAnsi="宋体" w:eastAsia="方正仿宋_GBK" w:cs="方正仿宋_GBK"/>
          <w:sz w:val="32"/>
        </w:rPr>
        <w:t>工作</w:t>
      </w:r>
      <w:r>
        <w:rPr>
          <w:rFonts w:hint="eastAsia" w:ascii="宋体" w:hAnsi="宋体" w:eastAsia="方正仿宋_GBK" w:cs="方正仿宋_GBK"/>
          <w:sz w:val="32"/>
          <w:lang w:eastAsia="zh-CN"/>
        </w:rPr>
        <w:t>，</w:t>
      </w:r>
      <w:r>
        <w:rPr>
          <w:rFonts w:hint="eastAsia" w:ascii="宋体" w:hAnsi="宋体" w:eastAsia="方正仿宋_GBK" w:cs="方正仿宋_GBK"/>
          <w:sz w:val="32"/>
        </w:rPr>
        <w:t>该项支出增加。</w:t>
      </w:r>
    </w:p>
    <w:p>
      <w:pPr>
        <w:keepNext w:val="0"/>
        <w:keepLines w:val="0"/>
        <w:pageBreakBefore w:val="0"/>
        <w:kinsoku/>
        <w:wordWrap/>
        <w:overflowPunct/>
        <w:topLinePunct w:val="0"/>
        <w:autoSpaceDN/>
        <w:bidi w:val="0"/>
        <w:spacing w:line="579" w:lineRule="exact"/>
        <w:ind w:firstLine="640" w:firstLineChars="200"/>
        <w:jc w:val="both"/>
        <w:textAlignment w:val="auto"/>
        <w:outlineLvl w:val="1"/>
        <w:rPr>
          <w:rFonts w:ascii="宋体" w:hAnsi="宋体" w:eastAsia="方正楷体_GBK" w:cs="方正楷体_GBK"/>
          <w:sz w:val="32"/>
          <w:szCs w:val="32"/>
        </w:rPr>
      </w:pPr>
      <w:r>
        <w:rPr>
          <w:rFonts w:hint="eastAsia" w:ascii="宋体" w:hAnsi="宋体" w:eastAsia="方正楷体_GBK" w:cs="方正楷体_GBK"/>
          <w:sz w:val="32"/>
          <w:szCs w:val="32"/>
        </w:rPr>
        <w:t>（四）</w:t>
      </w:r>
      <w:r>
        <w:rPr>
          <w:rStyle w:val="14"/>
          <w:rFonts w:hint="eastAsia" w:ascii="宋体" w:hAnsi="宋体" w:eastAsia="方正楷体_GBK" w:cs="方正楷体_GBK"/>
          <w:b w:val="0"/>
          <w:bCs/>
          <w:sz w:val="32"/>
          <w:szCs w:val="32"/>
          <w:shd w:val="clear" w:color="auto" w:fill="FFFFFF"/>
        </w:rPr>
        <w:t>一般公共预算财政拨款基本支出情况</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rPr>
          <w:rFonts w:ascii="宋体" w:hAnsi="宋体" w:eastAsia="方正仿宋_GBK" w:cs="方正仿宋_GBK"/>
          <w:sz w:val="32"/>
        </w:rPr>
      </w:pPr>
      <w:r>
        <w:rPr>
          <w:rFonts w:hint="eastAsia" w:ascii="宋体" w:hAnsi="宋体" w:eastAsia="方正仿宋_GBK" w:cs="方正仿宋_GBK"/>
          <w:sz w:val="32"/>
        </w:rPr>
        <w:t>2024年度一般公共预算财政拨款基本支出2006.10万元。其中：人员经费1782.33万元，主要用于基本工资405.28万元、津贴补贴140.67万元、奖金254.05万元、伙食补助费46.00万元、绩效工资350.50万元、基本养老保险缴费168.13万元、职业年金缴费83.85万元、基本医保缴费65.11万元、公务员医疗补助缴费11.33万元、其他社会保障缴费27.46万元、住房公积金115.87万元、医疗费11.02万元、其他工资福利支出0.13万元、对个人和家庭的补助支出102.93万元，较上年决算数增加216.22万元，</w:t>
      </w:r>
      <w:r>
        <w:rPr>
          <w:rFonts w:hint="eastAsia" w:ascii="宋体" w:hAnsi="宋体" w:eastAsia="方正仿宋_GBK" w:cs="方正仿宋_GBK"/>
          <w:sz w:val="32"/>
          <w:lang w:val="en-US" w:eastAsia="zh-CN"/>
        </w:rPr>
        <w:t>上升</w:t>
      </w:r>
      <w:r>
        <w:rPr>
          <w:rFonts w:hint="eastAsia" w:ascii="宋体" w:hAnsi="宋体" w:eastAsia="方正仿宋_GBK" w:cs="方正仿宋_GBK"/>
          <w:sz w:val="32"/>
        </w:rPr>
        <w:t>13.81%，主要原因是人员工资调增及人员增加，增加人员工资和社会保障缴费支出，人员经费增加。公用经费223.77万元，主要用于办公费18.25万元、咨询费0.10万元、水电费6.35万元、邮电费10.49万元、物业管理费0.08万元、差旅费1.28万元、维修（护）费0.52万元、会议费0.28万元、培训费3.20万元、公务接待费4.25万元、劳务费0.5万元、工会经费55.96万元、福利费20.64万元、公务用车运行维护费14.76万元、其他交通费用34.02万元、其他商品和服务支出51.18万元、资本性支出1.91万元，较上年决算数减少78.94万元，</w:t>
      </w:r>
      <w:r>
        <w:rPr>
          <w:rFonts w:hint="eastAsia" w:ascii="宋体" w:hAnsi="宋体" w:eastAsia="方正仿宋_GBK" w:cs="方正仿宋_GBK"/>
          <w:sz w:val="32"/>
          <w:lang w:val="en-US" w:eastAsia="zh-CN"/>
        </w:rPr>
        <w:t>下降</w:t>
      </w:r>
      <w:r>
        <w:rPr>
          <w:rFonts w:hint="eastAsia" w:ascii="宋体" w:hAnsi="宋体" w:eastAsia="方正仿宋_GBK" w:cs="方正仿宋_GBK"/>
          <w:sz w:val="32"/>
        </w:rPr>
        <w:t>26.08%，主要原因是响应政府“过紧日子苦日子”号召，调减人员人均公用支出和公务车运行维护费支出，日常公用经费总额减少。</w:t>
      </w:r>
    </w:p>
    <w:p>
      <w:pPr>
        <w:keepNext w:val="0"/>
        <w:keepLines w:val="0"/>
        <w:pageBreakBefore w:val="0"/>
        <w:widowControl/>
        <w:kinsoku/>
        <w:wordWrap/>
        <w:overflowPunct/>
        <w:topLinePunct w:val="0"/>
        <w:autoSpaceDE w:val="0"/>
        <w:autoSpaceDN/>
        <w:bidi w:val="0"/>
        <w:spacing w:line="579" w:lineRule="exact"/>
        <w:ind w:firstLine="640" w:firstLineChars="200"/>
        <w:jc w:val="both"/>
        <w:textAlignment w:val="auto"/>
        <w:outlineLvl w:val="1"/>
        <w:rPr>
          <w:rStyle w:val="14"/>
          <w:rFonts w:ascii="宋体" w:hAnsi="宋体" w:eastAsia="方正楷体_GBK" w:cs="方正楷体_GBK"/>
          <w:b w:val="0"/>
          <w:bCs/>
          <w:sz w:val="32"/>
          <w:szCs w:val="32"/>
          <w:shd w:val="clear" w:color="auto" w:fill="FFFFFF"/>
        </w:rPr>
      </w:pPr>
      <w:r>
        <w:rPr>
          <w:rStyle w:val="14"/>
          <w:rFonts w:hint="eastAsia" w:ascii="宋体" w:hAnsi="宋体" w:eastAsia="方正楷体_GBK" w:cs="方正楷体_GBK"/>
          <w:b w:val="0"/>
          <w:bCs/>
          <w:sz w:val="32"/>
          <w:szCs w:val="32"/>
          <w:shd w:val="clear" w:color="auto" w:fill="FFFFFF"/>
        </w:rPr>
        <w:t>（五）政府性基金预算收支决算情况</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rPr>
          <w:rFonts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本</w:t>
      </w:r>
      <w:r>
        <w:rPr>
          <w:rFonts w:hint="eastAsia" w:ascii="方正仿宋_GBK" w:hAnsi="方正仿宋_GBK" w:eastAsia="方正仿宋_GBK" w:cs="方正仿宋_GBK"/>
          <w:sz w:val="32"/>
          <w:szCs w:val="32"/>
          <w:shd w:val="clear" w:color="auto" w:fill="FFFFFF"/>
        </w:rPr>
        <w:t>部门2024年</w:t>
      </w:r>
      <w:r>
        <w:rPr>
          <w:rFonts w:ascii="方正仿宋_GBK" w:hAnsi="方正仿宋_GBK" w:eastAsia="方正仿宋_GBK" w:cs="方正仿宋_GBK"/>
          <w:sz w:val="32"/>
          <w:szCs w:val="32"/>
          <w:shd w:val="clear" w:color="auto" w:fill="FFFFFF"/>
        </w:rPr>
        <w:t>度无政府性基金预算财政拨款收支</w:t>
      </w:r>
      <w:r>
        <w:rPr>
          <w:rFonts w:hint="eastAsia" w:ascii="方正仿宋_GBK" w:hAnsi="方正仿宋_GBK" w:eastAsia="方正仿宋_GBK" w:cs="方正仿宋_GBK"/>
          <w:sz w:val="32"/>
          <w:szCs w:val="32"/>
          <w:shd w:val="clear" w:color="auto" w:fill="FFFFFF"/>
        </w:rPr>
        <w:t>。</w:t>
      </w:r>
    </w:p>
    <w:p>
      <w:pPr>
        <w:keepNext w:val="0"/>
        <w:keepLines w:val="0"/>
        <w:pageBreakBefore w:val="0"/>
        <w:widowControl/>
        <w:kinsoku/>
        <w:wordWrap/>
        <w:overflowPunct/>
        <w:topLinePunct w:val="0"/>
        <w:autoSpaceDE w:val="0"/>
        <w:autoSpaceDN/>
        <w:bidi w:val="0"/>
        <w:spacing w:line="579" w:lineRule="exact"/>
        <w:ind w:firstLine="640" w:firstLineChars="200"/>
        <w:jc w:val="both"/>
        <w:textAlignment w:val="auto"/>
        <w:outlineLvl w:val="1"/>
        <w:rPr>
          <w:rStyle w:val="14"/>
          <w:rFonts w:ascii="宋体" w:hAnsi="宋体" w:eastAsia="方正楷体_GBK" w:cs="方正楷体_GBK"/>
          <w:b w:val="0"/>
          <w:bCs/>
          <w:sz w:val="32"/>
          <w:szCs w:val="32"/>
          <w:shd w:val="clear" w:color="auto" w:fill="FFFFFF"/>
        </w:rPr>
      </w:pPr>
      <w:r>
        <w:rPr>
          <w:rStyle w:val="14"/>
          <w:rFonts w:hint="eastAsia" w:ascii="宋体" w:hAnsi="宋体" w:eastAsia="方正楷体_GBK" w:cs="方正楷体_GBK"/>
          <w:b w:val="0"/>
          <w:bCs/>
          <w:sz w:val="32"/>
          <w:szCs w:val="32"/>
          <w:shd w:val="clear" w:color="auto" w:fill="FFFFFF"/>
        </w:rPr>
        <w:t>（六）国有资本经营预算财政拨款支出决算情况</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rPr>
          <w:rFonts w:ascii="宋体" w:hAnsi="宋体" w:eastAsia="方正仿宋_GBK" w:cs="方正仿宋_GBK"/>
          <w:sz w:val="32"/>
        </w:rPr>
      </w:pPr>
      <w:r>
        <w:rPr>
          <w:rFonts w:ascii="方正仿宋_GBK" w:hAnsi="方正仿宋_GBK" w:eastAsia="方正仿宋_GBK" w:cs="方正仿宋_GBK"/>
          <w:sz w:val="32"/>
          <w:szCs w:val="32"/>
          <w:shd w:val="clear" w:color="auto" w:fill="FFFFFF"/>
        </w:rPr>
        <w:t>本</w:t>
      </w:r>
      <w:r>
        <w:rPr>
          <w:rFonts w:hint="eastAsia" w:ascii="方正仿宋_GBK" w:hAnsi="方正仿宋_GBK" w:eastAsia="方正仿宋_GBK" w:cs="方正仿宋_GBK"/>
          <w:sz w:val="32"/>
          <w:szCs w:val="32"/>
          <w:shd w:val="clear" w:color="auto" w:fill="FFFFFF"/>
        </w:rPr>
        <w:t>部门2024年</w:t>
      </w:r>
      <w:r>
        <w:rPr>
          <w:rFonts w:ascii="方正仿宋_GBK" w:hAnsi="方正仿宋_GBK" w:eastAsia="方正仿宋_GBK" w:cs="方正仿宋_GBK"/>
          <w:sz w:val="32"/>
          <w:szCs w:val="32"/>
          <w:shd w:val="clear" w:color="auto" w:fill="FFFFFF"/>
        </w:rPr>
        <w:t>度无国有资本经营预算财政拨款支出。</w:t>
      </w:r>
    </w:p>
    <w:p>
      <w:pPr>
        <w:pStyle w:val="10"/>
        <w:keepNext w:val="0"/>
        <w:keepLines w:val="0"/>
        <w:pageBreakBefore w:val="0"/>
        <w:widowControl/>
        <w:kinsoku/>
        <w:wordWrap/>
        <w:overflowPunct/>
        <w:topLinePunct w:val="0"/>
        <w:autoSpaceDE w:val="0"/>
        <w:autoSpaceDN/>
        <w:bidi w:val="0"/>
        <w:spacing w:before="0" w:beforeAutospacing="0" w:after="0" w:afterAutospacing="0" w:line="579" w:lineRule="exact"/>
        <w:ind w:firstLine="640" w:firstLineChars="200"/>
        <w:jc w:val="both"/>
        <w:textAlignment w:val="auto"/>
        <w:outlineLvl w:val="0"/>
        <w:rPr>
          <w:rStyle w:val="14"/>
          <w:rFonts w:hint="eastAsia" w:ascii="宋体" w:hAnsi="宋体" w:eastAsia="方正黑体_GBK" w:cs="方正黑体_GBK"/>
          <w:b w:val="0"/>
          <w:sz w:val="32"/>
          <w:szCs w:val="32"/>
          <w:shd w:val="clear" w:color="auto" w:fill="FFFFFF"/>
        </w:rPr>
      </w:pPr>
      <w:r>
        <w:rPr>
          <w:rStyle w:val="14"/>
          <w:rFonts w:hint="eastAsia" w:ascii="宋体" w:hAnsi="宋体" w:eastAsia="方正黑体_GBK" w:cs="方正黑体_GBK"/>
          <w:b w:val="0"/>
          <w:sz w:val="32"/>
          <w:szCs w:val="32"/>
          <w:shd w:val="clear" w:color="auto" w:fill="FFFFFF"/>
        </w:rPr>
        <w:t>三、“三公”经费情况</w:t>
      </w:r>
    </w:p>
    <w:p>
      <w:pPr>
        <w:keepNext w:val="0"/>
        <w:keepLines w:val="0"/>
        <w:pageBreakBefore w:val="0"/>
        <w:widowControl/>
        <w:kinsoku/>
        <w:wordWrap/>
        <w:overflowPunct/>
        <w:topLinePunct w:val="0"/>
        <w:autoSpaceDE w:val="0"/>
        <w:autoSpaceDN/>
        <w:bidi w:val="0"/>
        <w:spacing w:line="579" w:lineRule="exact"/>
        <w:ind w:firstLine="640" w:firstLineChars="200"/>
        <w:jc w:val="both"/>
        <w:textAlignment w:val="auto"/>
        <w:outlineLvl w:val="1"/>
        <w:rPr>
          <w:rStyle w:val="14"/>
          <w:rFonts w:ascii="宋体" w:hAnsi="宋体" w:eastAsia="方正楷体_GBK" w:cs="方正楷体_GBK"/>
          <w:b w:val="0"/>
          <w:bCs/>
          <w:sz w:val="32"/>
          <w:szCs w:val="32"/>
          <w:shd w:val="clear" w:color="auto" w:fill="FFFFFF"/>
        </w:rPr>
      </w:pPr>
      <w:r>
        <w:rPr>
          <w:rStyle w:val="14"/>
          <w:rFonts w:hint="eastAsia" w:ascii="宋体" w:hAnsi="宋体" w:eastAsia="方正楷体_GBK" w:cs="方正楷体_GBK"/>
          <w:b w:val="0"/>
          <w:bCs/>
          <w:sz w:val="32"/>
          <w:szCs w:val="32"/>
          <w:shd w:val="clear" w:color="auto" w:fill="FFFFFF"/>
        </w:rPr>
        <w:t>（一）“三公”经费支出总体情况</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rPr>
          <w:rFonts w:ascii="宋体" w:hAnsi="宋体" w:eastAsia="方正仿宋_GBK" w:cs="方正仿宋_GBK"/>
          <w:sz w:val="32"/>
        </w:rPr>
      </w:pPr>
      <w:r>
        <w:rPr>
          <w:rFonts w:hint="eastAsia" w:ascii="宋体" w:hAnsi="宋体" w:eastAsia="方正仿宋_GBK" w:cs="方正仿宋_GBK"/>
          <w:sz w:val="32"/>
        </w:rPr>
        <w:t>2024年度“三公”经费支出共计19.01万元，较年初预算数减少2.49万元，下降11.58%，主要原因是执行中央八项规定，减少公务车运行维护费和接待费用。较上年支出数减少5.29万元，</w:t>
      </w:r>
      <w:r>
        <w:rPr>
          <w:rFonts w:hint="eastAsia" w:ascii="宋体" w:hAnsi="宋体" w:eastAsia="方正仿宋_GBK" w:cs="方正仿宋_GBK"/>
          <w:sz w:val="32"/>
          <w:lang w:val="en-US" w:eastAsia="zh-CN"/>
        </w:rPr>
        <w:t>下降</w:t>
      </w:r>
      <w:r>
        <w:rPr>
          <w:rFonts w:hint="eastAsia" w:ascii="宋体" w:hAnsi="宋体" w:eastAsia="方正仿宋_GBK" w:cs="方正仿宋_GBK"/>
          <w:sz w:val="32"/>
        </w:rPr>
        <w:t>21.76%，主要原因是响应政府过“紧日子苦日子”号召，调减了公务车运行维护费标准和公务接待费。</w:t>
      </w:r>
    </w:p>
    <w:p>
      <w:pPr>
        <w:keepNext w:val="0"/>
        <w:keepLines w:val="0"/>
        <w:pageBreakBefore w:val="0"/>
        <w:widowControl/>
        <w:kinsoku/>
        <w:wordWrap/>
        <w:overflowPunct/>
        <w:topLinePunct w:val="0"/>
        <w:autoSpaceDE w:val="0"/>
        <w:autoSpaceDN/>
        <w:bidi w:val="0"/>
        <w:spacing w:line="579" w:lineRule="exact"/>
        <w:ind w:firstLine="640" w:firstLineChars="200"/>
        <w:jc w:val="both"/>
        <w:textAlignment w:val="auto"/>
        <w:outlineLvl w:val="1"/>
        <w:rPr>
          <w:rStyle w:val="14"/>
          <w:rFonts w:ascii="宋体" w:hAnsi="宋体" w:eastAsia="方正楷体_GBK" w:cs="方正楷体_GBK"/>
          <w:b w:val="0"/>
          <w:bCs/>
          <w:sz w:val="32"/>
          <w:szCs w:val="32"/>
          <w:shd w:val="clear" w:color="auto" w:fill="FFFFFF"/>
        </w:rPr>
      </w:pPr>
      <w:r>
        <w:rPr>
          <w:rStyle w:val="14"/>
          <w:rFonts w:hint="eastAsia" w:ascii="宋体" w:hAnsi="宋体" w:eastAsia="方正楷体_GBK" w:cs="方正楷体_GBK"/>
          <w:b w:val="0"/>
          <w:bCs/>
          <w:sz w:val="32"/>
          <w:szCs w:val="32"/>
          <w:shd w:val="clear" w:color="auto" w:fill="FFFFFF"/>
        </w:rPr>
        <w:t>（二）“三公”经费分项支出情况</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rPr>
          <w:rFonts w:ascii="宋体" w:hAnsi="宋体" w:eastAsia="方正仿宋_GBK" w:cs="方正仿宋_GBK"/>
          <w:sz w:val="32"/>
        </w:rPr>
      </w:pPr>
      <w:r>
        <w:rPr>
          <w:rFonts w:hint="eastAsia" w:ascii="宋体" w:hAnsi="宋体" w:eastAsia="方正仿宋_GBK" w:cs="方正仿宋_GBK"/>
          <w:sz w:val="32"/>
        </w:rPr>
        <w:t>因公出国（境）费用0万元，</w:t>
      </w:r>
      <w:r>
        <w:rPr>
          <w:rFonts w:hint="eastAsia" w:ascii="宋体" w:hAnsi="宋体" w:eastAsia="方正仿宋_GBK" w:cs="方正仿宋_GBK"/>
          <w:sz w:val="32"/>
          <w:szCs w:val="32"/>
          <w:shd w:val="clear" w:color="auto" w:fill="FFFFFF"/>
        </w:rPr>
        <w:t>较年初预算数无增减，与去年持平。</w:t>
      </w:r>
    </w:p>
    <w:p>
      <w:pPr>
        <w:pStyle w:val="5"/>
        <w:keepNext w:val="0"/>
        <w:keepLines w:val="0"/>
        <w:pageBreakBefore w:val="0"/>
        <w:widowControl/>
        <w:kinsoku/>
        <w:wordWrap/>
        <w:overflowPunct/>
        <w:topLinePunct w:val="0"/>
        <w:autoSpaceDN/>
        <w:bidi w:val="0"/>
        <w:spacing w:before="0" w:beforeAutospacing="0" w:afterAutospacing="0" w:line="579" w:lineRule="exact"/>
        <w:ind w:firstLine="640" w:firstLineChars="200"/>
        <w:jc w:val="both"/>
        <w:textAlignment w:val="auto"/>
        <w:rPr>
          <w:rFonts w:ascii="宋体" w:hAnsi="宋体" w:eastAsia="方正仿宋_GBK" w:cs="方正仿宋_GBK"/>
          <w:sz w:val="32"/>
        </w:rPr>
      </w:pPr>
      <w:r>
        <w:rPr>
          <w:rFonts w:hint="eastAsia" w:ascii="宋体" w:hAnsi="宋体" w:eastAsia="方正仿宋_GBK" w:cs="方正仿宋_GBK"/>
          <w:sz w:val="32"/>
        </w:rPr>
        <w:t>公务车购置费用0万元，</w:t>
      </w:r>
      <w:r>
        <w:rPr>
          <w:rFonts w:hint="eastAsia" w:ascii="宋体" w:hAnsi="宋体" w:eastAsia="方正仿宋_GBK" w:cs="方正仿宋_GBK"/>
          <w:sz w:val="32"/>
          <w:szCs w:val="32"/>
          <w:shd w:val="clear" w:color="auto" w:fill="FFFFFF"/>
        </w:rPr>
        <w:t>较年初预算数无增减，与去年持平。</w:t>
      </w:r>
    </w:p>
    <w:p>
      <w:pPr>
        <w:pStyle w:val="5"/>
        <w:keepNext w:val="0"/>
        <w:keepLines w:val="0"/>
        <w:pageBreakBefore w:val="0"/>
        <w:widowControl/>
        <w:kinsoku/>
        <w:wordWrap/>
        <w:overflowPunct/>
        <w:topLinePunct w:val="0"/>
        <w:autoSpaceDN/>
        <w:bidi w:val="0"/>
        <w:spacing w:before="0" w:beforeAutospacing="0" w:afterAutospacing="0" w:line="579" w:lineRule="exact"/>
        <w:ind w:firstLine="640" w:firstLineChars="200"/>
        <w:jc w:val="both"/>
        <w:textAlignment w:val="auto"/>
        <w:rPr>
          <w:rFonts w:ascii="宋体" w:hAnsi="宋体" w:eastAsia="方正仿宋_GBK" w:cs="方正仿宋_GBK"/>
          <w:sz w:val="32"/>
        </w:rPr>
      </w:pPr>
      <w:r>
        <w:rPr>
          <w:rFonts w:hint="eastAsia" w:ascii="宋体" w:hAnsi="宋体" w:eastAsia="方正仿宋_GBK" w:cs="方正仿宋_GBK"/>
          <w:sz w:val="32"/>
        </w:rPr>
        <w:t>公务车运行维护费14.76万元，主要用于</w:t>
      </w:r>
      <w:r>
        <w:rPr>
          <w:rFonts w:hint="eastAsia" w:ascii="宋体" w:hAnsi="宋体" w:eastAsia="方正仿宋_GBK" w:cs="方正仿宋_GBK"/>
          <w:sz w:val="32"/>
          <w:szCs w:val="32"/>
          <w:shd w:val="clear" w:color="auto" w:fill="FFFFFF"/>
        </w:rPr>
        <w:t>部门公务车维修维护费、停车费、高速路过路费、洗车费和油费。费用支出比年初预算</w:t>
      </w:r>
      <w:r>
        <w:rPr>
          <w:rFonts w:hint="eastAsia" w:ascii="宋体" w:hAnsi="宋体" w:eastAsia="方正仿宋_GBK" w:cs="方正仿宋_GBK"/>
          <w:sz w:val="32"/>
        </w:rPr>
        <w:t>数减少0.74万元，</w:t>
      </w:r>
      <w:r>
        <w:rPr>
          <w:rFonts w:hint="eastAsia" w:ascii="宋体" w:hAnsi="宋体" w:eastAsia="方正仿宋_GBK" w:cs="方正仿宋_GBK"/>
          <w:sz w:val="32"/>
          <w:lang w:val="en-US" w:eastAsia="zh-CN"/>
        </w:rPr>
        <w:t>下降</w:t>
      </w:r>
      <w:r>
        <w:rPr>
          <w:rFonts w:hint="eastAsia" w:ascii="宋体" w:hAnsi="宋体" w:eastAsia="方正仿宋_GBK" w:cs="方正仿宋_GBK"/>
          <w:sz w:val="32"/>
        </w:rPr>
        <w:t>4.77%，主要原因是响应政府号召，减少公务车运行维护费。较上年支出数减少5.24万元、</w:t>
      </w:r>
      <w:r>
        <w:rPr>
          <w:rFonts w:hint="eastAsia" w:ascii="宋体" w:hAnsi="宋体" w:eastAsia="方正仿宋_GBK" w:cs="方正仿宋_GBK"/>
          <w:sz w:val="32"/>
          <w:lang w:val="en-US" w:eastAsia="zh-CN"/>
        </w:rPr>
        <w:t>下降</w:t>
      </w:r>
      <w:r>
        <w:rPr>
          <w:rFonts w:hint="eastAsia" w:ascii="宋体" w:hAnsi="宋体" w:eastAsia="方正仿宋_GBK" w:cs="方正仿宋_GBK"/>
          <w:sz w:val="32"/>
        </w:rPr>
        <w:t>26.18%，主要原因是公务车车均运行维护费标准下调，公务用车运行维护费下降。</w:t>
      </w:r>
    </w:p>
    <w:p>
      <w:pPr>
        <w:pStyle w:val="5"/>
        <w:keepNext w:val="0"/>
        <w:keepLines w:val="0"/>
        <w:pageBreakBefore w:val="0"/>
        <w:widowControl/>
        <w:kinsoku/>
        <w:wordWrap/>
        <w:overflowPunct/>
        <w:topLinePunct w:val="0"/>
        <w:autoSpaceDN/>
        <w:bidi w:val="0"/>
        <w:spacing w:before="0" w:beforeAutospacing="0" w:afterAutospacing="0" w:line="579" w:lineRule="exact"/>
        <w:ind w:firstLine="640" w:firstLineChars="200"/>
        <w:jc w:val="both"/>
        <w:textAlignment w:val="auto"/>
        <w:rPr>
          <w:rFonts w:ascii="宋体" w:hAnsi="宋体" w:eastAsia="方正仿宋_GBK" w:cs="方正仿宋_GBK"/>
          <w:sz w:val="32"/>
        </w:rPr>
      </w:pPr>
      <w:r>
        <w:rPr>
          <w:rFonts w:hint="eastAsia" w:ascii="宋体" w:hAnsi="宋体" w:eastAsia="方正仿宋_GBK" w:cs="方正仿宋_GBK"/>
          <w:sz w:val="32"/>
        </w:rPr>
        <w:t>公务接待费4.25万元，主要用于</w:t>
      </w:r>
      <w:r>
        <w:rPr>
          <w:rFonts w:hint="eastAsia" w:ascii="宋体" w:hAnsi="宋体" w:eastAsia="方正仿宋_GBK" w:cs="方正仿宋_GBK"/>
          <w:sz w:val="32"/>
          <w:szCs w:val="32"/>
          <w:shd w:val="clear" w:color="auto" w:fill="FFFFFF"/>
        </w:rPr>
        <w:t>上级部门督查、调研、友邻区县交叉检查等接待支出</w:t>
      </w:r>
      <w:r>
        <w:rPr>
          <w:rFonts w:hint="eastAsia" w:ascii="宋体" w:hAnsi="宋体" w:eastAsia="方正仿宋_GBK" w:cs="方正仿宋_GBK"/>
          <w:sz w:val="32"/>
        </w:rPr>
        <w:t>。费用支出较年初预算数减少1.75万元，</w:t>
      </w:r>
      <w:r>
        <w:rPr>
          <w:rFonts w:hint="eastAsia" w:ascii="宋体" w:hAnsi="宋体" w:eastAsia="方正仿宋_GBK" w:cs="方正仿宋_GBK"/>
          <w:sz w:val="32"/>
          <w:lang w:val="en-US" w:eastAsia="zh-CN"/>
        </w:rPr>
        <w:t>下降</w:t>
      </w:r>
      <w:r>
        <w:rPr>
          <w:rFonts w:hint="eastAsia" w:ascii="宋体" w:hAnsi="宋体" w:eastAsia="方正仿宋_GBK" w:cs="方正仿宋_GBK"/>
          <w:sz w:val="32"/>
        </w:rPr>
        <w:t>29.17%；较上年支出数减少0.05万元，</w:t>
      </w:r>
      <w:r>
        <w:rPr>
          <w:rFonts w:hint="eastAsia" w:ascii="宋体" w:hAnsi="宋体" w:eastAsia="方正仿宋_GBK" w:cs="方正仿宋_GBK"/>
          <w:sz w:val="32"/>
          <w:lang w:val="en-US" w:eastAsia="zh-CN"/>
        </w:rPr>
        <w:t>下降</w:t>
      </w:r>
      <w:r>
        <w:rPr>
          <w:rFonts w:hint="eastAsia" w:ascii="宋体" w:hAnsi="宋体" w:eastAsia="方正仿宋_GBK" w:cs="方正仿宋_GBK"/>
          <w:sz w:val="32"/>
        </w:rPr>
        <w:t>1.16%，主要原因是执行中央</w:t>
      </w:r>
      <w:r>
        <w:rPr>
          <w:rFonts w:hint="eastAsia" w:ascii="宋体" w:hAnsi="宋体" w:eastAsia="方正仿宋_GBK" w:cs="方正仿宋_GBK"/>
          <w:sz w:val="32"/>
          <w:lang w:val="en-US" w:eastAsia="zh-CN"/>
        </w:rPr>
        <w:t>八</w:t>
      </w:r>
      <w:r>
        <w:rPr>
          <w:rFonts w:hint="eastAsia" w:ascii="宋体" w:hAnsi="宋体" w:eastAsia="方正仿宋_GBK" w:cs="方正仿宋_GBK"/>
          <w:sz w:val="32"/>
        </w:rPr>
        <w:t>项规定，降低接待费餐标和次数，接待费下降。</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outlineLvl w:val="1"/>
        <w:rPr>
          <w:rFonts w:ascii="宋体" w:hAnsi="宋体" w:eastAsia="方正楷体_GBK" w:cs="方正楷体_GBK"/>
        </w:rPr>
      </w:pPr>
      <w:r>
        <w:rPr>
          <w:rStyle w:val="14"/>
          <w:rFonts w:hint="eastAsia" w:ascii="宋体" w:hAnsi="宋体" w:eastAsia="方正楷体_GBK" w:cs="方正楷体_GBK"/>
          <w:b w:val="0"/>
          <w:bCs/>
          <w:kern w:val="2"/>
          <w:sz w:val="32"/>
          <w:szCs w:val="32"/>
          <w:shd w:val="clear" w:color="auto" w:fill="FFFFFF"/>
        </w:rPr>
        <w:t>（三）“三公”经费实物量情况</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rPr>
          <w:rFonts w:ascii="宋体" w:hAnsi="宋体" w:eastAsia="方正仿宋_GBK" w:cs="方正仿宋_GBK"/>
          <w:sz w:val="32"/>
        </w:rPr>
      </w:pPr>
      <w:r>
        <w:rPr>
          <w:rFonts w:hint="eastAsia" w:ascii="宋体" w:hAnsi="宋体" w:eastAsia="方正仿宋_GBK" w:cs="方正仿宋_GBK"/>
          <w:sz w:val="32"/>
        </w:rPr>
        <w:t>2024年度本部门因公出国（境）共计0个团组，0人；公务用车购置0辆，公务车保有量为5辆；国内公务接待63批次450人，其中：国内外事接待0批次，0人；国（境）外公务接待</w:t>
      </w:r>
      <w:r>
        <w:rPr>
          <w:rFonts w:hint="eastAsia" w:ascii="宋体" w:hAnsi="宋体" w:eastAsia="方正仿宋_GBK" w:cs="方正仿宋_GBK"/>
          <w:sz w:val="32"/>
          <w:lang w:val="en-US" w:eastAsia="zh-CN"/>
        </w:rPr>
        <w:t>0</w:t>
      </w:r>
      <w:r>
        <w:rPr>
          <w:rFonts w:hint="eastAsia" w:ascii="宋体" w:hAnsi="宋体" w:eastAsia="方正仿宋_GBK" w:cs="方正仿宋_GBK"/>
          <w:sz w:val="32"/>
        </w:rPr>
        <w:t>批次，0人。人均接待费94.44元，车均购置费0万元，车均维护费2.95万元。</w:t>
      </w:r>
    </w:p>
    <w:p>
      <w:pPr>
        <w:pStyle w:val="10"/>
        <w:keepNext w:val="0"/>
        <w:keepLines w:val="0"/>
        <w:pageBreakBefore w:val="0"/>
        <w:widowControl/>
        <w:kinsoku/>
        <w:wordWrap/>
        <w:overflowPunct/>
        <w:topLinePunct w:val="0"/>
        <w:autoSpaceDE w:val="0"/>
        <w:autoSpaceDN/>
        <w:bidi w:val="0"/>
        <w:spacing w:before="0" w:beforeAutospacing="0" w:after="0" w:afterAutospacing="0" w:line="579" w:lineRule="exact"/>
        <w:ind w:firstLine="640" w:firstLineChars="200"/>
        <w:jc w:val="both"/>
        <w:textAlignment w:val="auto"/>
        <w:outlineLvl w:val="0"/>
        <w:rPr>
          <w:rStyle w:val="14"/>
          <w:rFonts w:hint="eastAsia" w:ascii="宋体" w:hAnsi="宋体" w:eastAsia="方正黑体_GBK" w:cs="方正黑体_GBK"/>
          <w:b w:val="0"/>
          <w:sz w:val="32"/>
          <w:szCs w:val="32"/>
          <w:shd w:val="clear" w:color="auto" w:fill="FFFFFF"/>
        </w:rPr>
      </w:pPr>
      <w:r>
        <w:rPr>
          <w:rStyle w:val="14"/>
          <w:rFonts w:hint="eastAsia" w:ascii="宋体" w:hAnsi="宋体" w:eastAsia="方正黑体_GBK" w:cs="方正黑体_GBK"/>
          <w:b w:val="0"/>
          <w:sz w:val="32"/>
          <w:szCs w:val="32"/>
          <w:shd w:val="clear" w:color="auto" w:fill="FFFFFF"/>
        </w:rPr>
        <w:t>四、其他需要说明的事项</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outlineLvl w:val="1"/>
        <w:rPr>
          <w:rStyle w:val="14"/>
          <w:rFonts w:ascii="宋体" w:hAnsi="宋体" w:eastAsia="方正楷体_GBK" w:cs="方正楷体_GBK"/>
          <w:b w:val="0"/>
          <w:bCs/>
          <w:kern w:val="2"/>
          <w:sz w:val="32"/>
          <w:szCs w:val="32"/>
          <w:shd w:val="clear" w:color="auto" w:fill="FFFFFF"/>
        </w:rPr>
      </w:pPr>
      <w:r>
        <w:rPr>
          <w:rStyle w:val="14"/>
          <w:rFonts w:hint="eastAsia" w:ascii="宋体" w:hAnsi="宋体" w:eastAsia="方正楷体_GBK" w:cs="方正楷体_GBK"/>
          <w:b w:val="0"/>
          <w:bCs/>
          <w:kern w:val="2"/>
          <w:sz w:val="32"/>
          <w:szCs w:val="32"/>
          <w:shd w:val="clear" w:color="auto" w:fill="FFFFFF"/>
        </w:rPr>
        <w:t>（一）财政拨款会议费和培训费情况</w:t>
      </w:r>
    </w:p>
    <w:p>
      <w:pPr>
        <w:pStyle w:val="5"/>
        <w:keepNext w:val="0"/>
        <w:keepLines w:val="0"/>
        <w:pageBreakBefore w:val="0"/>
        <w:kinsoku/>
        <w:wordWrap/>
        <w:overflowPunct/>
        <w:topLinePunct w:val="0"/>
        <w:autoSpaceDN/>
        <w:bidi w:val="0"/>
        <w:snapToGrid w:val="0"/>
        <w:spacing w:before="0" w:beforeAutospacing="0" w:after="0" w:afterAutospacing="0" w:line="579" w:lineRule="exact"/>
        <w:ind w:firstLine="640" w:firstLineChars="200"/>
        <w:jc w:val="both"/>
        <w:textAlignment w:val="auto"/>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shd w:val="clear" w:color="auto" w:fill="FFFFFF"/>
        </w:rPr>
        <w:t>2024</w:t>
      </w:r>
      <w:r>
        <w:rPr>
          <w:rFonts w:ascii="方正仿宋_GBK" w:hAnsi="方正仿宋_GBK" w:eastAsia="方正仿宋_GBK" w:cs="方正仿宋_GBK"/>
          <w:sz w:val="32"/>
          <w:szCs w:val="32"/>
          <w:shd w:val="clear" w:color="auto" w:fill="FFFFFF"/>
        </w:rPr>
        <w:t>年度会议费支出</w:t>
      </w:r>
      <w:r>
        <w:rPr>
          <w:rFonts w:hint="eastAsia" w:ascii="方正仿宋_GBK" w:hAnsi="方正仿宋_GBK" w:eastAsia="方正仿宋_GBK" w:cs="方正仿宋_GBK"/>
          <w:sz w:val="32"/>
          <w:szCs w:val="32"/>
        </w:rPr>
        <w:t>0.85</w:t>
      </w:r>
      <w:r>
        <w:rPr>
          <w:rFonts w:ascii="方正仿宋_GBK" w:hAnsi="方正仿宋_GBK" w:eastAsia="方正仿宋_GBK" w:cs="方正仿宋_GBK"/>
          <w:sz w:val="32"/>
          <w:szCs w:val="32"/>
          <w:shd w:val="clear" w:color="auto" w:fill="FFFFFF"/>
        </w:rPr>
        <w:t>万元，与2023年度相比，减少</w:t>
      </w:r>
      <w:r>
        <w:rPr>
          <w:rFonts w:hint="eastAsia" w:ascii="方正仿宋_GBK" w:hAnsi="方正仿宋_GBK" w:eastAsia="方正仿宋_GBK" w:cs="方正仿宋_GBK"/>
          <w:sz w:val="32"/>
          <w:szCs w:val="32"/>
          <w:shd w:val="clear" w:color="auto" w:fill="FFFFFF"/>
        </w:rPr>
        <w:t>1.44</w:t>
      </w:r>
      <w:r>
        <w:rPr>
          <w:rFonts w:ascii="方正仿宋_GBK" w:hAnsi="方正仿宋_GBK" w:eastAsia="方正仿宋_GBK" w:cs="方正仿宋_GBK"/>
          <w:sz w:val="32"/>
          <w:szCs w:val="32"/>
          <w:shd w:val="clear" w:color="auto" w:fill="FFFFFF"/>
        </w:rPr>
        <w:t>万元，下降</w:t>
      </w:r>
      <w:r>
        <w:rPr>
          <w:rFonts w:hint="eastAsia" w:ascii="方正仿宋_GBK" w:hAnsi="方正仿宋_GBK" w:eastAsia="方正仿宋_GBK" w:cs="方正仿宋_GBK"/>
          <w:sz w:val="32"/>
          <w:szCs w:val="32"/>
          <w:shd w:val="clear" w:color="auto" w:fill="FFFFFF"/>
        </w:rPr>
        <w:t>62.95</w:t>
      </w:r>
      <w:r>
        <w:rPr>
          <w:rFonts w:ascii="方正仿宋_GBK" w:hAnsi="方正仿宋_GBK" w:eastAsia="方正仿宋_GBK" w:cs="方正仿宋_GBK"/>
          <w:sz w:val="32"/>
          <w:szCs w:val="32"/>
          <w:shd w:val="clear" w:color="auto" w:fill="FFFFFF"/>
        </w:rPr>
        <w:t>%，主要原因是</w:t>
      </w:r>
      <w:r>
        <w:rPr>
          <w:rFonts w:hint="eastAsia" w:ascii="方正仿宋_GBK" w:hAnsi="方正仿宋_GBK" w:eastAsia="方正仿宋_GBK" w:cs="方正仿宋_GBK"/>
          <w:sz w:val="32"/>
          <w:szCs w:val="32"/>
          <w:shd w:val="clear" w:color="auto" w:fill="FFFFFF"/>
        </w:rPr>
        <w:t>精简会议次数和会议餐费支出，降低会议费支出</w:t>
      </w:r>
      <w:r>
        <w:rPr>
          <w:rFonts w:ascii="方正仿宋_GBK" w:hAnsi="方正仿宋_GBK" w:eastAsia="方正仿宋_GBK" w:cs="方正仿宋_GBK"/>
          <w:sz w:val="32"/>
          <w:szCs w:val="32"/>
          <w:shd w:val="clear" w:color="auto" w:fill="FFFFFF"/>
        </w:rPr>
        <w:t>。本年度培训费支出</w:t>
      </w:r>
      <w:r>
        <w:rPr>
          <w:rFonts w:hint="eastAsia" w:ascii="方正仿宋_GBK" w:hAnsi="方正仿宋_GBK" w:eastAsia="方正仿宋_GBK" w:cs="方正仿宋_GBK"/>
          <w:sz w:val="32"/>
          <w:szCs w:val="32"/>
        </w:rPr>
        <w:t>7.52</w:t>
      </w:r>
      <w:r>
        <w:rPr>
          <w:rFonts w:ascii="方正仿宋_GBK" w:hAnsi="方正仿宋_GBK" w:eastAsia="方正仿宋_GBK" w:cs="方正仿宋_GBK"/>
          <w:sz w:val="32"/>
          <w:szCs w:val="32"/>
          <w:shd w:val="clear" w:color="auto" w:fill="FFFFFF"/>
        </w:rPr>
        <w:t>万元，与2023年度相比，增加</w:t>
      </w:r>
      <w:r>
        <w:rPr>
          <w:rFonts w:hint="eastAsia" w:ascii="方正仿宋_GBK" w:hAnsi="方正仿宋_GBK" w:eastAsia="方正仿宋_GBK" w:cs="方正仿宋_GBK"/>
          <w:sz w:val="32"/>
          <w:szCs w:val="32"/>
          <w:shd w:val="clear" w:color="auto" w:fill="FFFFFF"/>
        </w:rPr>
        <w:t>3.34</w:t>
      </w:r>
      <w:r>
        <w:rPr>
          <w:rFonts w:ascii="方正仿宋_GBK" w:hAnsi="方正仿宋_GBK" w:eastAsia="方正仿宋_GBK" w:cs="方正仿宋_GBK"/>
          <w:sz w:val="32"/>
          <w:szCs w:val="32"/>
          <w:shd w:val="clear" w:color="auto" w:fill="FFFFFF"/>
        </w:rPr>
        <w:t>万元，</w:t>
      </w:r>
      <w:r>
        <w:rPr>
          <w:rFonts w:hint="eastAsia" w:ascii="方正仿宋_GBK" w:hAnsi="方正仿宋_GBK" w:eastAsia="方正仿宋_GBK" w:cs="方正仿宋_GBK"/>
          <w:sz w:val="32"/>
          <w:szCs w:val="32"/>
          <w:shd w:val="clear" w:color="auto" w:fill="FFFFFF"/>
          <w:lang w:val="en-US" w:eastAsia="zh-CN"/>
        </w:rPr>
        <w:t>上升</w:t>
      </w:r>
      <w:r>
        <w:rPr>
          <w:rFonts w:hint="eastAsia" w:ascii="方正仿宋_GBK" w:hAnsi="方正仿宋_GBK" w:eastAsia="方正仿宋_GBK" w:cs="方正仿宋_GBK"/>
          <w:sz w:val="32"/>
          <w:szCs w:val="32"/>
          <w:shd w:val="clear" w:color="auto" w:fill="FFFFFF"/>
        </w:rPr>
        <w:t>84.02</w:t>
      </w:r>
      <w:r>
        <w:rPr>
          <w:rFonts w:ascii="方正仿宋_GBK" w:hAnsi="方正仿宋_GBK" w:eastAsia="方正仿宋_GBK" w:cs="方正仿宋_GBK"/>
          <w:sz w:val="32"/>
          <w:szCs w:val="32"/>
          <w:shd w:val="clear" w:color="auto" w:fill="FFFFFF"/>
        </w:rPr>
        <w:t>%，主要原因是</w:t>
      </w:r>
      <w:r>
        <w:rPr>
          <w:rFonts w:hint="eastAsia" w:ascii="方正仿宋_GBK" w:hAnsi="方正仿宋_GBK" w:eastAsia="方正仿宋_GBK" w:cs="方正仿宋_GBK"/>
          <w:sz w:val="32"/>
          <w:szCs w:val="32"/>
          <w:shd w:val="clear" w:color="auto" w:fill="FFFFFF"/>
        </w:rPr>
        <w:t>今年召开了一次</w:t>
      </w:r>
      <w:r>
        <w:rPr>
          <w:rFonts w:hint="eastAsia" w:ascii="方正仿宋_GBK" w:hAnsi="方正仿宋_GBK" w:eastAsia="方正仿宋_GBK" w:cs="方正仿宋_GBK"/>
          <w:sz w:val="32"/>
          <w:szCs w:val="32"/>
          <w:shd w:val="clear" w:color="auto" w:fill="FFFFFF"/>
          <w:lang w:val="en-US" w:eastAsia="zh-CN"/>
        </w:rPr>
        <w:t>全</w:t>
      </w:r>
      <w:r>
        <w:rPr>
          <w:rFonts w:hint="eastAsia" w:ascii="方正仿宋_GBK" w:hAnsi="方正仿宋_GBK" w:eastAsia="方正仿宋_GBK" w:cs="方正仿宋_GBK"/>
          <w:sz w:val="32"/>
          <w:szCs w:val="32"/>
          <w:shd w:val="clear" w:color="auto" w:fill="FFFFFF"/>
        </w:rPr>
        <w:t>区应急干部自然灾害及安全生产综合培训</w:t>
      </w:r>
      <w:r>
        <w:rPr>
          <w:rFonts w:hint="eastAsia" w:ascii="方正仿宋_GBK" w:hAnsi="方正仿宋_GBK" w:eastAsia="方正仿宋_GBK" w:cs="方正仿宋_GBK"/>
          <w:sz w:val="32"/>
          <w:szCs w:val="32"/>
          <w:shd w:val="clear" w:color="auto" w:fill="FFFFFF"/>
          <w:lang w:val="en-US" w:eastAsia="zh-CN"/>
        </w:rPr>
        <w:t>会</w:t>
      </w:r>
      <w:r>
        <w:rPr>
          <w:rFonts w:hint="eastAsia" w:ascii="方正仿宋_GBK" w:hAnsi="方正仿宋_GBK" w:eastAsia="方正仿宋_GBK" w:cs="方正仿宋_GBK"/>
          <w:sz w:val="32"/>
          <w:szCs w:val="32"/>
          <w:shd w:val="clear" w:color="auto" w:fill="FFFFFF"/>
        </w:rPr>
        <w:t>，培训费增加</w:t>
      </w:r>
      <w:r>
        <w:rPr>
          <w:rFonts w:ascii="方正仿宋_GBK" w:hAnsi="方正仿宋_GBK" w:eastAsia="方正仿宋_GBK" w:cs="方正仿宋_GBK"/>
          <w:sz w:val="32"/>
          <w:szCs w:val="32"/>
          <w:shd w:val="clear" w:color="auto" w:fill="FFFFFF"/>
        </w:rPr>
        <w:t>。</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outlineLvl w:val="1"/>
        <w:rPr>
          <w:rStyle w:val="14"/>
          <w:rFonts w:ascii="宋体" w:hAnsi="宋体" w:eastAsia="方正楷体_GBK" w:cs="方正楷体_GBK"/>
          <w:b w:val="0"/>
          <w:bCs/>
          <w:kern w:val="2"/>
          <w:sz w:val="32"/>
          <w:szCs w:val="32"/>
          <w:shd w:val="clear" w:color="auto" w:fill="FFFFFF"/>
        </w:rPr>
      </w:pPr>
      <w:r>
        <w:rPr>
          <w:rStyle w:val="14"/>
          <w:rFonts w:hint="eastAsia" w:ascii="宋体" w:hAnsi="宋体" w:eastAsia="方正楷体_GBK" w:cs="方正楷体_GBK"/>
          <w:b w:val="0"/>
          <w:bCs/>
          <w:kern w:val="2"/>
          <w:sz w:val="32"/>
          <w:szCs w:val="32"/>
          <w:shd w:val="clear" w:color="auto" w:fill="FFFFFF"/>
        </w:rPr>
        <w:t>（二）机关运行经费情况</w:t>
      </w:r>
    </w:p>
    <w:p>
      <w:pPr>
        <w:keepNext w:val="0"/>
        <w:keepLines w:val="0"/>
        <w:pageBreakBefore w:val="0"/>
        <w:kinsoku/>
        <w:wordWrap/>
        <w:overflowPunct/>
        <w:topLinePunct w:val="0"/>
        <w:autoSpaceDN/>
        <w:bidi w:val="0"/>
        <w:spacing w:line="579" w:lineRule="exact"/>
        <w:ind w:firstLine="640" w:firstLineChars="200"/>
        <w:jc w:val="both"/>
        <w:textAlignment w:val="auto"/>
        <w:rPr>
          <w:rFonts w:ascii="宋体" w:hAnsi="宋体" w:eastAsia="方正仿宋_GBK" w:cs="方正仿宋_GBK"/>
          <w:kern w:val="0"/>
          <w:sz w:val="32"/>
          <w:szCs w:val="32"/>
        </w:rPr>
      </w:pPr>
      <w:r>
        <w:rPr>
          <w:rFonts w:hint="eastAsia" w:ascii="宋体" w:hAnsi="宋体" w:eastAsia="方正仿宋_GBK" w:cs="方正仿宋_GBK"/>
          <w:kern w:val="0"/>
          <w:sz w:val="32"/>
          <w:szCs w:val="32"/>
        </w:rPr>
        <w:t>2024年度本部门机关运行经费支出144.85万元，较上年减少39.10万元，</w:t>
      </w:r>
      <w:r>
        <w:rPr>
          <w:rFonts w:hint="eastAsia" w:ascii="宋体" w:hAnsi="宋体" w:eastAsia="方正仿宋_GBK" w:cs="方正仿宋_GBK"/>
          <w:kern w:val="0"/>
          <w:sz w:val="32"/>
          <w:szCs w:val="32"/>
          <w:lang w:val="en-US" w:eastAsia="zh-CN"/>
        </w:rPr>
        <w:t>下降</w:t>
      </w:r>
      <w:r>
        <w:rPr>
          <w:rFonts w:hint="eastAsia" w:ascii="宋体" w:hAnsi="宋体" w:eastAsia="方正仿宋_GBK" w:cs="方正仿宋_GBK"/>
          <w:kern w:val="0"/>
          <w:sz w:val="32"/>
          <w:szCs w:val="32"/>
        </w:rPr>
        <w:t>21.26%，主要原因是减少单位办公经费支出，节省各项开支，机关运行经费下降。比年初预算数减少31.96万元，</w:t>
      </w:r>
      <w:r>
        <w:rPr>
          <w:rFonts w:hint="eastAsia" w:ascii="宋体" w:hAnsi="宋体" w:eastAsia="方正仿宋_GBK" w:cs="方正仿宋_GBK"/>
          <w:kern w:val="0"/>
          <w:sz w:val="32"/>
          <w:szCs w:val="32"/>
          <w:lang w:val="en-US" w:eastAsia="zh-CN"/>
        </w:rPr>
        <w:t>下降</w:t>
      </w:r>
      <w:r>
        <w:rPr>
          <w:rFonts w:hint="eastAsia" w:ascii="宋体" w:hAnsi="宋体" w:eastAsia="方正仿宋_GBK" w:cs="方正仿宋_GBK"/>
          <w:kern w:val="0"/>
          <w:sz w:val="32"/>
          <w:szCs w:val="32"/>
        </w:rPr>
        <w:t>18.08%，主要原因是厉行节约，减少各项经费支出。机关运动经费主要用于</w:t>
      </w:r>
      <w:r>
        <w:rPr>
          <w:rFonts w:hint="eastAsia" w:ascii="宋体" w:hAnsi="宋体" w:eastAsia="方正仿宋_GBK" w:cs="方正仿宋_GBK"/>
          <w:sz w:val="32"/>
        </w:rPr>
        <w:t>办公费46.09万元、水电费2.06万元、邮电费10.49万元、物业管理费0.08万元、差旅费0.67万元、维修（护）费0.20万元、会议费0.18万元、培训费2.32万元、公务接待费2.36万元、福利费11.6万元、公务用车运行维护费6万元、其他交通费用34.02万元、其他商品和服务支出28.44万元</w:t>
      </w:r>
      <w:r>
        <w:rPr>
          <w:rFonts w:hint="eastAsia" w:ascii="宋体" w:hAnsi="宋体" w:eastAsia="方正仿宋_GBK" w:cs="方正仿宋_GBK"/>
          <w:kern w:val="0"/>
          <w:sz w:val="32"/>
          <w:szCs w:val="32"/>
        </w:rPr>
        <w:t>。</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outlineLvl w:val="1"/>
        <w:rPr>
          <w:rStyle w:val="14"/>
          <w:rFonts w:ascii="宋体" w:hAnsi="宋体" w:eastAsia="方正楷体_GBK" w:cs="方正楷体_GBK"/>
          <w:b w:val="0"/>
          <w:bCs/>
          <w:kern w:val="2"/>
          <w:sz w:val="32"/>
          <w:szCs w:val="32"/>
          <w:shd w:val="clear" w:color="auto" w:fill="FFFFFF"/>
        </w:rPr>
      </w:pPr>
      <w:r>
        <w:rPr>
          <w:rStyle w:val="14"/>
          <w:rFonts w:hint="eastAsia" w:ascii="宋体" w:hAnsi="宋体" w:eastAsia="方正楷体_GBK" w:cs="方正楷体_GBK"/>
          <w:b w:val="0"/>
          <w:bCs/>
          <w:kern w:val="2"/>
          <w:sz w:val="32"/>
          <w:szCs w:val="32"/>
          <w:shd w:val="clear" w:color="auto" w:fill="FFFFFF"/>
        </w:rPr>
        <w:t>（三）国有资产占用情况说明</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rPr>
          <w:rFonts w:ascii="宋体" w:hAnsi="宋体" w:eastAsia="方正仿宋_GBK" w:cs="方正仿宋_GBK"/>
          <w:sz w:val="32"/>
          <w:szCs w:val="32"/>
        </w:rPr>
      </w:pPr>
      <w:r>
        <w:rPr>
          <w:rFonts w:hint="eastAsia" w:ascii="宋体" w:hAnsi="宋体" w:eastAsia="方正仿宋_GBK" w:cs="方正仿宋_GBK"/>
          <w:sz w:val="32"/>
          <w:szCs w:val="32"/>
        </w:rPr>
        <w:t>截至2024年12月31日，本部门共有车辆5辆。其中：应急保障用车4辆，特种专业技术用车1辆。单价100万元（含）以上设备（不含车辆）0台（套）。</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outlineLvl w:val="1"/>
        <w:rPr>
          <w:rStyle w:val="14"/>
          <w:rFonts w:ascii="宋体" w:hAnsi="宋体" w:eastAsia="方正楷体_GBK" w:cs="方正楷体_GBK"/>
          <w:b w:val="0"/>
          <w:bCs/>
          <w:kern w:val="2"/>
          <w:sz w:val="32"/>
          <w:szCs w:val="32"/>
          <w:shd w:val="clear" w:color="auto" w:fill="FFFFFF"/>
        </w:rPr>
      </w:pPr>
      <w:r>
        <w:rPr>
          <w:rStyle w:val="14"/>
          <w:rFonts w:hint="eastAsia" w:ascii="宋体" w:hAnsi="宋体" w:eastAsia="方正楷体_GBK" w:cs="方正楷体_GBK"/>
          <w:b w:val="0"/>
          <w:bCs/>
          <w:kern w:val="2"/>
          <w:sz w:val="32"/>
          <w:szCs w:val="32"/>
          <w:shd w:val="clear" w:color="auto" w:fill="FFFFFF"/>
        </w:rPr>
        <w:t>（四）政府采购支出说明</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rPr>
          <w:rFonts w:ascii="宋体" w:hAnsi="宋体" w:eastAsia="方正仿宋_GBK" w:cs="方正仿宋_GBK"/>
          <w:sz w:val="32"/>
        </w:rPr>
      </w:pPr>
      <w:r>
        <w:rPr>
          <w:rFonts w:hint="eastAsia" w:ascii="宋体" w:hAnsi="宋体" w:eastAsia="方正仿宋_GBK" w:cs="方正仿宋_GBK"/>
          <w:sz w:val="32"/>
          <w:szCs w:val="32"/>
        </w:rPr>
        <w:t>2024年度本部门政府采购支出总额2.15万元，其中：政府采购货物支出2.15万元。授予中小企业合同金额2.15万元，占政府采购支出总额的100%，其中：授予小微企业合同金额2.15万元，占政府采购支出总额的100%。</w:t>
      </w:r>
      <w:r>
        <w:rPr>
          <w:rFonts w:hint="eastAsia" w:ascii="宋体" w:hAnsi="宋体" w:eastAsia="方正仿宋_GBK" w:cs="方正仿宋_GBK"/>
          <w:sz w:val="32"/>
        </w:rPr>
        <w:t>主要用于采购办公用打印机和电脑。</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outlineLvl w:val="0"/>
        <w:rPr>
          <w:rFonts w:ascii="宋体" w:hAnsi="宋体" w:eastAsia="方正黑体_GBK" w:cs="方正黑体_GBK"/>
          <w:bCs/>
          <w:sz w:val="32"/>
          <w:szCs w:val="32"/>
        </w:rPr>
      </w:pPr>
      <w:r>
        <w:rPr>
          <w:rStyle w:val="8"/>
          <w:rFonts w:hint="eastAsia" w:ascii="宋体" w:hAnsi="宋体" w:eastAsia="方正黑体_GBK" w:cs="方正黑体_GBK"/>
          <w:b w:val="0"/>
          <w:bCs/>
          <w:sz w:val="32"/>
          <w:szCs w:val="32"/>
          <w:shd w:val="clear" w:color="auto" w:fill="FFFFFF"/>
        </w:rPr>
        <w:t>五、预算绩效管理情况</w:t>
      </w:r>
    </w:p>
    <w:p>
      <w:pPr>
        <w:pStyle w:val="5"/>
        <w:keepNext w:val="0"/>
        <w:keepLines w:val="0"/>
        <w:pageBreakBefore w:val="0"/>
        <w:widowControl/>
        <w:kinsoku/>
        <w:wordWrap/>
        <w:overflowPunct/>
        <w:topLinePunct w:val="0"/>
        <w:autoSpaceDN/>
        <w:bidi w:val="0"/>
        <w:adjustRightInd w:val="0"/>
        <w:spacing w:before="0" w:beforeAutospacing="0" w:after="0" w:afterAutospacing="0" w:line="579" w:lineRule="exact"/>
        <w:ind w:firstLine="640" w:firstLineChars="200"/>
        <w:jc w:val="both"/>
        <w:textAlignment w:val="auto"/>
        <w:outlineLvl w:val="1"/>
        <w:rPr>
          <w:rFonts w:ascii="宋体" w:hAnsi="宋体" w:eastAsia="方正楷体_GBK" w:cs="方正楷体_GBK"/>
        </w:rPr>
      </w:pPr>
      <w:r>
        <w:rPr>
          <w:rStyle w:val="14"/>
          <w:rFonts w:hint="eastAsia" w:ascii="宋体" w:hAnsi="宋体" w:eastAsia="方正楷体_GBK" w:cs="方正楷体_GBK"/>
          <w:b w:val="0"/>
          <w:bCs/>
          <w:kern w:val="2"/>
          <w:sz w:val="32"/>
          <w:szCs w:val="32"/>
          <w:shd w:val="clear" w:color="auto" w:fill="FFFFFF"/>
        </w:rPr>
        <w:t>（一）预算绩效管理工作开展情况</w:t>
      </w:r>
    </w:p>
    <w:p>
      <w:pPr>
        <w:pStyle w:val="5"/>
        <w:keepNext w:val="0"/>
        <w:keepLines w:val="0"/>
        <w:pageBreakBefore w:val="0"/>
        <w:widowControl/>
        <w:kinsoku/>
        <w:wordWrap/>
        <w:overflowPunct/>
        <w:topLinePunct w:val="0"/>
        <w:autoSpaceDN/>
        <w:bidi w:val="0"/>
        <w:adjustRightInd w:val="0"/>
        <w:spacing w:before="0" w:beforeAutospacing="0" w:after="0" w:afterAutospacing="0" w:line="579" w:lineRule="exact"/>
        <w:ind w:firstLine="640" w:firstLineChars="200"/>
        <w:jc w:val="both"/>
        <w:textAlignment w:val="auto"/>
        <w:rPr>
          <w:rFonts w:ascii="宋体" w:hAnsi="宋体" w:eastAsia="方正仿宋_GBK" w:cs="方正仿宋_GBK"/>
        </w:rPr>
      </w:pPr>
      <w:r>
        <w:rPr>
          <w:rFonts w:hint="eastAsia" w:ascii="宋体" w:hAnsi="宋体" w:eastAsia="方正仿宋_GBK" w:cs="方正仿宋_GBK"/>
          <w:sz w:val="32"/>
          <w:szCs w:val="32"/>
        </w:rPr>
        <w:t>根据预算绩效管理要求，我局对部门整体和16个项目开展了绩效自评，其中，以填报目标自评表形式开展自评17项，涉及资金3519.80万元。</w:t>
      </w:r>
    </w:p>
    <w:p>
      <w:pPr>
        <w:pStyle w:val="5"/>
        <w:keepNext w:val="0"/>
        <w:keepLines w:val="0"/>
        <w:pageBreakBefore w:val="0"/>
        <w:widowControl/>
        <w:kinsoku/>
        <w:wordWrap/>
        <w:overflowPunct/>
        <w:topLinePunct w:val="0"/>
        <w:autoSpaceDN/>
        <w:bidi w:val="0"/>
        <w:adjustRightInd w:val="0"/>
        <w:spacing w:before="0" w:beforeAutospacing="0" w:after="0" w:afterAutospacing="0" w:line="579" w:lineRule="exact"/>
        <w:ind w:firstLine="640" w:firstLineChars="200"/>
        <w:jc w:val="both"/>
        <w:textAlignment w:val="auto"/>
        <w:outlineLvl w:val="1"/>
        <w:rPr>
          <w:rStyle w:val="14"/>
          <w:rFonts w:ascii="宋体" w:hAnsi="宋体" w:eastAsia="方正楷体_GBK" w:cs="方正楷体_GBK"/>
          <w:b w:val="0"/>
          <w:bCs/>
          <w:kern w:val="2"/>
          <w:sz w:val="32"/>
          <w:szCs w:val="32"/>
          <w:shd w:val="clear" w:color="auto" w:fill="FFFFFF"/>
        </w:rPr>
      </w:pPr>
      <w:r>
        <w:rPr>
          <w:rStyle w:val="14"/>
          <w:rFonts w:hint="eastAsia" w:ascii="宋体" w:hAnsi="宋体" w:eastAsia="方正楷体_GBK" w:cs="方正楷体_GBK"/>
          <w:b w:val="0"/>
          <w:bCs/>
          <w:kern w:val="2"/>
          <w:sz w:val="32"/>
          <w:szCs w:val="32"/>
          <w:shd w:val="clear" w:color="auto" w:fill="FFFFFF"/>
        </w:rPr>
        <w:t>（二）绩效自评结果</w:t>
      </w:r>
    </w:p>
    <w:p>
      <w:pPr>
        <w:pStyle w:val="5"/>
        <w:keepNext w:val="0"/>
        <w:keepLines w:val="0"/>
        <w:pageBreakBefore w:val="0"/>
        <w:widowControl/>
        <w:kinsoku/>
        <w:wordWrap/>
        <w:overflowPunct/>
        <w:topLinePunct w:val="0"/>
        <w:autoSpaceDN/>
        <w:bidi w:val="0"/>
        <w:adjustRightInd w:val="0"/>
        <w:spacing w:before="0" w:beforeAutospacing="0" w:after="0" w:afterAutospacing="0" w:line="579" w:lineRule="exact"/>
        <w:ind w:firstLine="643" w:firstLineChars="200"/>
        <w:jc w:val="both"/>
        <w:textAlignment w:val="auto"/>
        <w:rPr>
          <w:rFonts w:ascii="宋体" w:hAnsi="宋体" w:eastAsia="方正仿宋_GBK" w:cs="方正仿宋_GBK"/>
          <w:b/>
          <w:bCs/>
          <w:sz w:val="32"/>
        </w:rPr>
      </w:pPr>
      <w:r>
        <w:rPr>
          <w:rFonts w:hint="eastAsia" w:ascii="宋体" w:hAnsi="宋体" w:eastAsia="方正仿宋_GBK" w:cs="方正仿宋_GBK"/>
          <w:b/>
          <w:bCs/>
          <w:sz w:val="32"/>
        </w:rPr>
        <w:t>1.绩效目标自评表</w:t>
      </w:r>
    </w:p>
    <w:p>
      <w:pPr>
        <w:pStyle w:val="9"/>
        <w:tabs>
          <w:tab w:val="center" w:pos="4153"/>
          <w:tab w:val="left" w:pos="7275"/>
        </w:tabs>
        <w:spacing w:line="579" w:lineRule="exact"/>
        <w:ind w:firstLine="0" w:firstLineChars="0"/>
        <w:jc w:val="center"/>
        <w:rPr>
          <w:rFonts w:ascii="方正黑体_GBK" w:hAnsi="方正黑体_GBK" w:eastAsia="方正黑体_GBK" w:cs="方正黑体_GBK"/>
          <w:color w:val="000000"/>
          <w:kern w:val="0"/>
          <w:sz w:val="36"/>
          <w:szCs w:val="36"/>
        </w:rPr>
      </w:pPr>
      <w:r>
        <w:rPr>
          <w:rFonts w:hint="eastAsia" w:ascii="方正黑体_GBK" w:hAnsi="方正黑体_GBK" w:eastAsia="方正黑体_GBK" w:cs="方正黑体_GBK"/>
          <w:color w:val="000000"/>
          <w:kern w:val="0"/>
          <w:sz w:val="36"/>
          <w:szCs w:val="36"/>
        </w:rPr>
        <w:t>2024年度部门整体绩效自评表</w:t>
      </w:r>
    </w:p>
    <w:tbl>
      <w:tblPr>
        <w:tblStyle w:val="6"/>
        <w:tblW w:w="101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
        <w:gridCol w:w="756"/>
        <w:gridCol w:w="708"/>
        <w:gridCol w:w="709"/>
        <w:gridCol w:w="366"/>
        <w:gridCol w:w="342"/>
        <w:gridCol w:w="704"/>
        <w:gridCol w:w="153"/>
        <w:gridCol w:w="791"/>
        <w:gridCol w:w="936"/>
        <w:gridCol w:w="912"/>
        <w:gridCol w:w="768"/>
        <w:gridCol w:w="2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847" w:type="dxa"/>
            <w:tcBorders>
              <w:tl2br w:val="nil"/>
              <w:tr2bl w:val="nil"/>
            </w:tcBorders>
            <w:noWrap/>
            <w:vAlign w:val="center"/>
          </w:tcPr>
          <w:p>
            <w:r>
              <w:rPr>
                <w:rFonts w:hint="eastAsia"/>
              </w:rPr>
              <w:t>项目</w:t>
            </w:r>
          </w:p>
          <w:p>
            <w:r>
              <w:rPr>
                <w:rFonts w:hint="eastAsia"/>
              </w:rPr>
              <w:t>名称</w:t>
            </w:r>
          </w:p>
        </w:tc>
        <w:tc>
          <w:tcPr>
            <w:tcW w:w="3585" w:type="dxa"/>
            <w:gridSpan w:val="6"/>
            <w:tcBorders>
              <w:tl2br w:val="nil"/>
              <w:tr2bl w:val="nil"/>
            </w:tcBorders>
            <w:noWrap/>
            <w:vAlign w:val="center"/>
          </w:tcPr>
          <w:p>
            <w:r>
              <w:rPr>
                <w:rFonts w:hint="eastAsia"/>
              </w:rPr>
              <w:t>重庆市江津区应急管理局整体自评</w:t>
            </w:r>
          </w:p>
        </w:tc>
        <w:tc>
          <w:tcPr>
            <w:tcW w:w="944" w:type="dxa"/>
            <w:gridSpan w:val="2"/>
            <w:tcBorders>
              <w:tl2br w:val="nil"/>
              <w:tr2bl w:val="nil"/>
            </w:tcBorders>
            <w:noWrap/>
            <w:vAlign w:val="center"/>
          </w:tcPr>
          <w:p>
            <w:r>
              <w:rPr>
                <w:rFonts w:hint="eastAsia"/>
              </w:rPr>
              <w:t>自评总分</w:t>
            </w:r>
          </w:p>
          <w:p>
            <w:r>
              <w:rPr>
                <w:rFonts w:hint="eastAsia"/>
              </w:rPr>
              <w:t>（分）</w:t>
            </w:r>
          </w:p>
        </w:tc>
        <w:tc>
          <w:tcPr>
            <w:tcW w:w="4756" w:type="dxa"/>
            <w:gridSpan w:val="4"/>
            <w:tcBorders>
              <w:tl2br w:val="nil"/>
              <w:tr2bl w:val="nil"/>
            </w:tcBorders>
            <w:noWrap/>
            <w:vAlign w:val="center"/>
          </w:tcPr>
          <w:p>
            <w:pPr>
              <w:rPr>
                <w:rFonts w:hint="default" w:eastAsia="宋体"/>
                <w:lang w:val="en-US" w:eastAsia="zh-CN"/>
              </w:rPr>
            </w:pPr>
            <w:r>
              <w:rPr>
                <w:rFonts w:hint="eastAsia"/>
                <w:lang w:val="en-US" w:eastAsia="zh-CN"/>
              </w:rPr>
              <w:t>95.5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847" w:type="dxa"/>
            <w:tcBorders>
              <w:tl2br w:val="nil"/>
              <w:tr2bl w:val="nil"/>
            </w:tcBorders>
            <w:noWrap/>
            <w:vAlign w:val="center"/>
          </w:tcPr>
          <w:p>
            <w:r>
              <w:rPr>
                <w:rFonts w:hint="eastAsia"/>
              </w:rPr>
              <w:t>项目主管部门</w:t>
            </w:r>
          </w:p>
        </w:tc>
        <w:tc>
          <w:tcPr>
            <w:tcW w:w="1464" w:type="dxa"/>
            <w:gridSpan w:val="2"/>
            <w:tcBorders>
              <w:tl2br w:val="nil"/>
              <w:tr2bl w:val="nil"/>
            </w:tcBorders>
            <w:noWrap/>
            <w:vAlign w:val="center"/>
          </w:tcPr>
          <w:p>
            <w:r>
              <w:rPr>
                <w:rFonts w:hint="eastAsia"/>
              </w:rPr>
              <w:t>603-重庆市江津区应急管理局</w:t>
            </w:r>
          </w:p>
        </w:tc>
        <w:tc>
          <w:tcPr>
            <w:tcW w:w="1075" w:type="dxa"/>
            <w:gridSpan w:val="2"/>
            <w:tcBorders>
              <w:tl2br w:val="nil"/>
              <w:tr2bl w:val="nil"/>
            </w:tcBorders>
            <w:noWrap/>
            <w:vAlign w:val="center"/>
          </w:tcPr>
          <w:p>
            <w:pPr>
              <w:jc w:val="center"/>
            </w:pPr>
            <w:r>
              <w:rPr>
                <w:rFonts w:hint="eastAsia"/>
              </w:rPr>
              <w:t>财政归口科室</w:t>
            </w:r>
          </w:p>
        </w:tc>
        <w:tc>
          <w:tcPr>
            <w:tcW w:w="1046" w:type="dxa"/>
            <w:gridSpan w:val="2"/>
            <w:tcBorders>
              <w:tl2br w:val="nil"/>
              <w:tr2bl w:val="nil"/>
            </w:tcBorders>
            <w:noWrap/>
            <w:vAlign w:val="center"/>
          </w:tcPr>
          <w:p>
            <w:r>
              <w:rPr>
                <w:rFonts w:hint="eastAsia"/>
              </w:rPr>
              <w:t>006-产业发展科</w:t>
            </w:r>
          </w:p>
        </w:tc>
        <w:tc>
          <w:tcPr>
            <w:tcW w:w="944" w:type="dxa"/>
            <w:gridSpan w:val="2"/>
            <w:tcBorders>
              <w:tl2br w:val="nil"/>
              <w:tr2bl w:val="nil"/>
            </w:tcBorders>
            <w:noWrap/>
            <w:vAlign w:val="center"/>
          </w:tcPr>
          <w:p>
            <w:pPr>
              <w:jc w:val="center"/>
            </w:pPr>
            <w:r>
              <w:rPr>
                <w:rFonts w:hint="eastAsia"/>
              </w:rPr>
              <w:t>部门</w:t>
            </w:r>
          </w:p>
          <w:p>
            <w:pPr>
              <w:jc w:val="center"/>
            </w:pPr>
            <w:r>
              <w:rPr>
                <w:rFonts w:hint="eastAsia"/>
              </w:rPr>
              <w:t>联系人</w:t>
            </w:r>
          </w:p>
        </w:tc>
        <w:tc>
          <w:tcPr>
            <w:tcW w:w="936" w:type="dxa"/>
            <w:tcBorders>
              <w:tl2br w:val="nil"/>
              <w:tr2bl w:val="nil"/>
            </w:tcBorders>
            <w:noWrap/>
            <w:vAlign w:val="center"/>
          </w:tcPr>
          <w:p>
            <w:r>
              <w:rPr>
                <w:rFonts w:hint="eastAsia"/>
              </w:rPr>
              <w:t>王艺寰</w:t>
            </w:r>
          </w:p>
        </w:tc>
        <w:tc>
          <w:tcPr>
            <w:tcW w:w="912" w:type="dxa"/>
            <w:tcBorders>
              <w:tl2br w:val="nil"/>
              <w:tr2bl w:val="nil"/>
            </w:tcBorders>
            <w:noWrap/>
            <w:vAlign w:val="center"/>
          </w:tcPr>
          <w:p>
            <w:pPr>
              <w:jc w:val="center"/>
            </w:pPr>
            <w:r>
              <w:rPr>
                <w:rFonts w:hint="eastAsia"/>
              </w:rPr>
              <w:t>联系电话</w:t>
            </w:r>
          </w:p>
        </w:tc>
        <w:tc>
          <w:tcPr>
            <w:tcW w:w="2908" w:type="dxa"/>
            <w:gridSpan w:val="2"/>
            <w:tcBorders>
              <w:tl2br w:val="nil"/>
              <w:tr2bl w:val="nil"/>
            </w:tcBorders>
            <w:noWrap/>
            <w:vAlign w:val="center"/>
          </w:tcPr>
          <w:p>
            <w:r>
              <w:rPr>
                <w:rFonts w:hint="eastAsia"/>
              </w:rPr>
              <w:t>13883896753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jc w:val="center"/>
        </w:trPr>
        <w:tc>
          <w:tcPr>
            <w:tcW w:w="847" w:type="dxa"/>
            <w:vMerge w:val="restart"/>
            <w:tcBorders>
              <w:tl2br w:val="nil"/>
              <w:tr2bl w:val="nil"/>
            </w:tcBorders>
            <w:noWrap/>
            <w:textDirection w:val="tbRlV"/>
            <w:vAlign w:val="center"/>
          </w:tcPr>
          <w:p>
            <w:pPr>
              <w:jc w:val="center"/>
            </w:pPr>
            <w:r>
              <w:rPr>
                <w:rFonts w:hint="eastAsia"/>
              </w:rPr>
              <w:t>项目资金（万元）</w:t>
            </w:r>
          </w:p>
        </w:tc>
        <w:tc>
          <w:tcPr>
            <w:tcW w:w="1464" w:type="dxa"/>
            <w:gridSpan w:val="2"/>
            <w:vMerge w:val="restart"/>
            <w:tcBorders>
              <w:tl2br w:val="nil"/>
              <w:tr2bl w:val="nil"/>
            </w:tcBorders>
            <w:noWrap/>
            <w:vAlign w:val="center"/>
          </w:tcPr>
          <w:p>
            <w:pPr>
              <w:jc w:val="center"/>
            </w:pPr>
            <w:r>
              <w:rPr>
                <w:rFonts w:hint="eastAsia"/>
              </w:rPr>
              <w:t>年度总金额</w:t>
            </w:r>
          </w:p>
        </w:tc>
        <w:tc>
          <w:tcPr>
            <w:tcW w:w="1075" w:type="dxa"/>
            <w:gridSpan w:val="2"/>
            <w:tcBorders>
              <w:tl2br w:val="nil"/>
              <w:tr2bl w:val="nil"/>
            </w:tcBorders>
            <w:noWrap/>
            <w:vAlign w:val="center"/>
          </w:tcPr>
          <w:p>
            <w:pPr>
              <w:jc w:val="center"/>
            </w:pPr>
            <w:r>
              <w:rPr>
                <w:rFonts w:hint="eastAsia"/>
              </w:rPr>
              <w:t>年初</w:t>
            </w:r>
          </w:p>
          <w:p>
            <w:pPr>
              <w:jc w:val="center"/>
            </w:pPr>
            <w:r>
              <w:rPr>
                <w:rFonts w:hint="eastAsia"/>
              </w:rPr>
              <w:t>预算数</w:t>
            </w:r>
          </w:p>
        </w:tc>
        <w:tc>
          <w:tcPr>
            <w:tcW w:w="1046" w:type="dxa"/>
            <w:gridSpan w:val="2"/>
            <w:tcBorders>
              <w:tl2br w:val="nil"/>
              <w:tr2bl w:val="nil"/>
            </w:tcBorders>
            <w:noWrap/>
            <w:vAlign w:val="center"/>
          </w:tcPr>
          <w:p>
            <w:pPr>
              <w:jc w:val="center"/>
            </w:pPr>
            <w:r>
              <w:rPr>
                <w:rFonts w:hint="eastAsia"/>
              </w:rPr>
              <w:t>全年（调整）预算数</w:t>
            </w:r>
          </w:p>
        </w:tc>
        <w:tc>
          <w:tcPr>
            <w:tcW w:w="1880" w:type="dxa"/>
            <w:gridSpan w:val="3"/>
            <w:tcBorders>
              <w:tl2br w:val="nil"/>
              <w:tr2bl w:val="nil"/>
            </w:tcBorders>
            <w:noWrap/>
            <w:vAlign w:val="center"/>
          </w:tcPr>
          <w:p>
            <w:pPr>
              <w:jc w:val="center"/>
            </w:pPr>
            <w:r>
              <w:rPr>
                <w:rFonts w:hint="eastAsia"/>
              </w:rPr>
              <w:t>全年执行数</w:t>
            </w:r>
          </w:p>
        </w:tc>
        <w:tc>
          <w:tcPr>
            <w:tcW w:w="912" w:type="dxa"/>
            <w:tcBorders>
              <w:tl2br w:val="nil"/>
              <w:tr2bl w:val="nil"/>
            </w:tcBorders>
            <w:noWrap/>
            <w:vAlign w:val="center"/>
          </w:tcPr>
          <w:p>
            <w:pPr>
              <w:jc w:val="center"/>
            </w:pPr>
            <w:r>
              <w:rPr>
                <w:rFonts w:hint="eastAsia"/>
              </w:rPr>
              <w:t>执行率</w:t>
            </w:r>
          </w:p>
          <w:p>
            <w:pPr>
              <w:jc w:val="center"/>
            </w:pPr>
            <w:r>
              <w:rPr>
                <w:rFonts w:hint="eastAsia"/>
              </w:rPr>
              <w:t>（%）</w:t>
            </w:r>
          </w:p>
        </w:tc>
        <w:tc>
          <w:tcPr>
            <w:tcW w:w="768" w:type="dxa"/>
            <w:tcBorders>
              <w:tl2br w:val="nil"/>
              <w:tr2bl w:val="nil"/>
            </w:tcBorders>
            <w:noWrap/>
            <w:vAlign w:val="center"/>
          </w:tcPr>
          <w:p>
            <w:pPr>
              <w:jc w:val="center"/>
            </w:pPr>
            <w:r>
              <w:rPr>
                <w:rFonts w:hint="eastAsia"/>
              </w:rPr>
              <w:t>执行率权重</w:t>
            </w:r>
          </w:p>
        </w:tc>
        <w:tc>
          <w:tcPr>
            <w:tcW w:w="2140" w:type="dxa"/>
            <w:tcBorders>
              <w:tl2br w:val="nil"/>
              <w:tr2bl w:val="nil"/>
            </w:tcBorders>
            <w:noWrap/>
            <w:vAlign w:val="center"/>
          </w:tcPr>
          <w:p>
            <w:pPr>
              <w:jc w:val="center"/>
            </w:pPr>
            <w:r>
              <w:rPr>
                <w:rFonts w:hint="eastAsia"/>
              </w:rPr>
              <w:t>执行率得分</w:t>
            </w:r>
          </w:p>
          <w:p>
            <w:pPr>
              <w:jc w:val="center"/>
            </w:pPr>
            <w:r>
              <w:rPr>
                <w:rFonts w:hint="eastAsia"/>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847" w:type="dxa"/>
            <w:vMerge w:val="continue"/>
            <w:tcBorders>
              <w:tl2br w:val="nil"/>
              <w:tr2bl w:val="nil"/>
            </w:tcBorders>
            <w:noWrap/>
            <w:vAlign w:val="center"/>
          </w:tcPr>
          <w:p/>
        </w:tc>
        <w:tc>
          <w:tcPr>
            <w:tcW w:w="1464" w:type="dxa"/>
            <w:gridSpan w:val="2"/>
            <w:vMerge w:val="continue"/>
            <w:tcBorders>
              <w:tl2br w:val="nil"/>
              <w:tr2bl w:val="nil"/>
            </w:tcBorders>
            <w:noWrap/>
            <w:vAlign w:val="center"/>
          </w:tcPr>
          <w:p/>
        </w:tc>
        <w:tc>
          <w:tcPr>
            <w:tcW w:w="1075" w:type="dxa"/>
            <w:gridSpan w:val="2"/>
            <w:tcBorders>
              <w:tl2br w:val="nil"/>
              <w:tr2bl w:val="nil"/>
            </w:tcBorders>
            <w:noWrap/>
            <w:vAlign w:val="center"/>
          </w:tcPr>
          <w:p>
            <w:pPr>
              <w:rPr>
                <w:rFonts w:hint="default" w:eastAsia="宋体"/>
                <w:lang w:val="en-US" w:eastAsia="zh-CN"/>
              </w:rPr>
            </w:pPr>
            <w:r>
              <w:rPr>
                <w:rFonts w:hint="eastAsia"/>
                <w:lang w:val="en-US" w:eastAsia="zh-CN"/>
              </w:rPr>
              <w:t>2748.55</w:t>
            </w:r>
          </w:p>
        </w:tc>
        <w:tc>
          <w:tcPr>
            <w:tcW w:w="1046" w:type="dxa"/>
            <w:gridSpan w:val="2"/>
            <w:tcBorders>
              <w:tl2br w:val="nil"/>
              <w:tr2bl w:val="nil"/>
            </w:tcBorders>
            <w:noWrap/>
            <w:vAlign w:val="center"/>
          </w:tcPr>
          <w:p>
            <w:pPr>
              <w:rPr>
                <w:rFonts w:hint="default" w:eastAsia="宋体"/>
                <w:lang w:val="en-US" w:eastAsia="zh-CN"/>
              </w:rPr>
            </w:pPr>
            <w:r>
              <w:rPr>
                <w:rFonts w:hint="eastAsia"/>
                <w:lang w:val="en-US" w:eastAsia="zh-CN"/>
              </w:rPr>
              <w:t>3519.80</w:t>
            </w:r>
          </w:p>
        </w:tc>
        <w:tc>
          <w:tcPr>
            <w:tcW w:w="1880" w:type="dxa"/>
            <w:gridSpan w:val="3"/>
            <w:tcBorders>
              <w:tl2br w:val="nil"/>
              <w:tr2bl w:val="nil"/>
            </w:tcBorders>
            <w:noWrap/>
            <w:vAlign w:val="center"/>
          </w:tcPr>
          <w:p>
            <w:pPr>
              <w:rPr>
                <w:rFonts w:hint="default" w:eastAsia="宋体"/>
                <w:lang w:val="en-US" w:eastAsia="zh-CN"/>
              </w:rPr>
            </w:pPr>
            <w:r>
              <w:rPr>
                <w:rFonts w:hint="eastAsia"/>
                <w:lang w:val="en-US" w:eastAsia="zh-CN"/>
              </w:rPr>
              <w:t>3519.80</w:t>
            </w:r>
          </w:p>
        </w:tc>
        <w:tc>
          <w:tcPr>
            <w:tcW w:w="912" w:type="dxa"/>
            <w:tcBorders>
              <w:tl2br w:val="nil"/>
              <w:tr2bl w:val="nil"/>
            </w:tcBorders>
            <w:noWrap/>
            <w:vAlign w:val="center"/>
          </w:tcPr>
          <w:p>
            <w:pPr>
              <w:rPr>
                <w:rFonts w:hint="default" w:eastAsia="宋体"/>
                <w:lang w:val="en-US" w:eastAsia="zh-CN"/>
              </w:rPr>
            </w:pPr>
            <w:r>
              <w:rPr>
                <w:rFonts w:hint="eastAsia"/>
                <w:lang w:val="en-US" w:eastAsia="zh-CN"/>
              </w:rPr>
              <w:t>100</w:t>
            </w:r>
          </w:p>
        </w:tc>
        <w:tc>
          <w:tcPr>
            <w:tcW w:w="768" w:type="dxa"/>
            <w:tcBorders>
              <w:tl2br w:val="nil"/>
              <w:tr2bl w:val="nil"/>
            </w:tcBorders>
            <w:noWrap/>
            <w:vAlign w:val="center"/>
          </w:tcPr>
          <w:p>
            <w:pPr>
              <w:rPr>
                <w:rFonts w:hint="default" w:eastAsia="宋体"/>
                <w:lang w:val="en-US" w:eastAsia="zh-CN"/>
              </w:rPr>
            </w:pPr>
            <w:r>
              <w:rPr>
                <w:rFonts w:hint="eastAsia"/>
                <w:lang w:val="en-US" w:eastAsia="zh-CN"/>
              </w:rPr>
              <w:t>10</w:t>
            </w:r>
          </w:p>
        </w:tc>
        <w:tc>
          <w:tcPr>
            <w:tcW w:w="2140" w:type="dxa"/>
            <w:tcBorders>
              <w:tl2br w:val="nil"/>
              <w:tr2bl w:val="nil"/>
            </w:tcBorders>
            <w:noWrap/>
            <w:vAlign w:val="center"/>
          </w:tcPr>
          <w:p>
            <w:pPr>
              <w:rPr>
                <w:rFonts w:hint="default" w:eastAsia="宋体"/>
                <w:lang w:val="en-US" w:eastAsia="zh-CN"/>
              </w:rPr>
            </w:pPr>
            <w:r>
              <w:rPr>
                <w:rFonts w:hint="eastAsia"/>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847" w:type="dxa"/>
            <w:vMerge w:val="continue"/>
            <w:tcBorders>
              <w:tl2br w:val="nil"/>
              <w:tr2bl w:val="nil"/>
            </w:tcBorders>
            <w:noWrap/>
            <w:vAlign w:val="center"/>
          </w:tcPr>
          <w:p/>
        </w:tc>
        <w:tc>
          <w:tcPr>
            <w:tcW w:w="1464" w:type="dxa"/>
            <w:gridSpan w:val="2"/>
            <w:tcBorders>
              <w:tl2br w:val="nil"/>
              <w:tr2bl w:val="nil"/>
            </w:tcBorders>
            <w:noWrap/>
            <w:vAlign w:val="center"/>
          </w:tcPr>
          <w:p>
            <w:r>
              <w:rPr>
                <w:rFonts w:hint="eastAsia"/>
              </w:rPr>
              <w:t>其中：</w:t>
            </w:r>
          </w:p>
          <w:p>
            <w:r>
              <w:rPr>
                <w:rFonts w:hint="eastAsia"/>
              </w:rPr>
              <w:t>财政拨款</w:t>
            </w:r>
          </w:p>
        </w:tc>
        <w:tc>
          <w:tcPr>
            <w:tcW w:w="1075" w:type="dxa"/>
            <w:gridSpan w:val="2"/>
            <w:tcBorders>
              <w:tl2br w:val="nil"/>
              <w:tr2bl w:val="nil"/>
            </w:tcBorders>
            <w:noWrap/>
            <w:vAlign w:val="center"/>
          </w:tcPr>
          <w:p>
            <w:r>
              <w:rPr>
                <w:rFonts w:hint="eastAsia"/>
                <w:lang w:val="en-US" w:eastAsia="zh-CN"/>
              </w:rPr>
              <w:t>2748.55</w:t>
            </w:r>
          </w:p>
        </w:tc>
        <w:tc>
          <w:tcPr>
            <w:tcW w:w="1046" w:type="dxa"/>
            <w:gridSpan w:val="2"/>
            <w:tcBorders>
              <w:tl2br w:val="nil"/>
              <w:tr2bl w:val="nil"/>
            </w:tcBorders>
            <w:noWrap/>
            <w:vAlign w:val="center"/>
          </w:tcPr>
          <w:p>
            <w:r>
              <w:rPr>
                <w:rFonts w:hint="eastAsia"/>
                <w:lang w:val="en-US" w:eastAsia="zh-CN"/>
              </w:rPr>
              <w:t>3519.80</w:t>
            </w:r>
          </w:p>
        </w:tc>
        <w:tc>
          <w:tcPr>
            <w:tcW w:w="1880" w:type="dxa"/>
            <w:gridSpan w:val="3"/>
            <w:tcBorders>
              <w:tl2br w:val="nil"/>
              <w:tr2bl w:val="nil"/>
            </w:tcBorders>
            <w:noWrap/>
            <w:vAlign w:val="center"/>
          </w:tcPr>
          <w:p>
            <w:r>
              <w:rPr>
                <w:rFonts w:hint="eastAsia"/>
                <w:lang w:val="en-US" w:eastAsia="zh-CN"/>
              </w:rPr>
              <w:t>3519.80</w:t>
            </w:r>
          </w:p>
        </w:tc>
        <w:tc>
          <w:tcPr>
            <w:tcW w:w="912" w:type="dxa"/>
            <w:tcBorders>
              <w:tl2br w:val="nil"/>
              <w:tr2bl w:val="nil"/>
            </w:tcBorders>
            <w:noWrap/>
            <w:vAlign w:val="center"/>
          </w:tcPr>
          <w:p>
            <w:r>
              <w:rPr>
                <w:rFonts w:hint="eastAsia"/>
                <w:lang w:val="en-US" w:eastAsia="zh-CN"/>
              </w:rPr>
              <w:t>100</w:t>
            </w:r>
          </w:p>
        </w:tc>
        <w:tc>
          <w:tcPr>
            <w:tcW w:w="768" w:type="dxa"/>
            <w:tcBorders>
              <w:tl2br w:val="nil"/>
              <w:tr2bl w:val="nil"/>
            </w:tcBorders>
            <w:noWrap/>
            <w:vAlign w:val="center"/>
          </w:tcPr>
          <w:p>
            <w:r>
              <w:rPr>
                <w:rFonts w:hint="eastAsia"/>
                <w:lang w:val="en-US" w:eastAsia="zh-CN"/>
              </w:rPr>
              <w:t>10</w:t>
            </w:r>
          </w:p>
        </w:tc>
        <w:tc>
          <w:tcPr>
            <w:tcW w:w="2140" w:type="dxa"/>
            <w:tcBorders>
              <w:tl2br w:val="nil"/>
              <w:tr2bl w:val="nil"/>
            </w:tcBorders>
            <w:noWrap/>
            <w:vAlign w:val="center"/>
          </w:tcPr>
          <w:p>
            <w:r>
              <w:rPr>
                <w:rFonts w:hint="eastAsia"/>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847" w:type="dxa"/>
            <w:vMerge w:val="restart"/>
            <w:tcBorders>
              <w:tl2br w:val="nil"/>
              <w:tr2bl w:val="nil"/>
            </w:tcBorders>
            <w:noWrap/>
            <w:vAlign w:val="center"/>
          </w:tcPr>
          <w:p>
            <w:r>
              <w:rPr>
                <w:rFonts w:hint="eastAsia"/>
              </w:rPr>
              <w:t>当年绩效目标</w:t>
            </w:r>
          </w:p>
        </w:tc>
        <w:tc>
          <w:tcPr>
            <w:tcW w:w="2881" w:type="dxa"/>
            <w:gridSpan w:val="5"/>
            <w:tcBorders>
              <w:tl2br w:val="nil"/>
              <w:tr2bl w:val="nil"/>
            </w:tcBorders>
            <w:noWrap/>
            <w:vAlign w:val="center"/>
          </w:tcPr>
          <w:p>
            <w:pPr>
              <w:jc w:val="center"/>
            </w:pPr>
            <w:r>
              <w:rPr>
                <w:rFonts w:hint="eastAsia"/>
              </w:rPr>
              <w:t>年初绩效目标</w:t>
            </w:r>
          </w:p>
        </w:tc>
        <w:tc>
          <w:tcPr>
            <w:tcW w:w="2584" w:type="dxa"/>
            <w:gridSpan w:val="4"/>
            <w:tcBorders>
              <w:tl2br w:val="nil"/>
              <w:tr2bl w:val="nil"/>
            </w:tcBorders>
            <w:noWrap/>
            <w:vAlign w:val="center"/>
          </w:tcPr>
          <w:p>
            <w:pPr>
              <w:jc w:val="center"/>
            </w:pPr>
            <w:r>
              <w:rPr>
                <w:rFonts w:hint="eastAsia"/>
              </w:rPr>
              <w:t>全年（调整）绩效目标</w:t>
            </w:r>
          </w:p>
        </w:tc>
        <w:tc>
          <w:tcPr>
            <w:tcW w:w="3820" w:type="dxa"/>
            <w:gridSpan w:val="3"/>
            <w:tcBorders>
              <w:tl2br w:val="nil"/>
              <w:tr2bl w:val="nil"/>
            </w:tcBorders>
            <w:noWrap/>
            <w:vAlign w:val="center"/>
          </w:tcPr>
          <w:p>
            <w:pPr>
              <w:jc w:val="center"/>
            </w:pPr>
            <w:r>
              <w:rPr>
                <w:rFonts w:hint="eastAsia"/>
              </w:rPr>
              <w:t>全年目标实际完成情况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jc w:val="center"/>
        </w:trPr>
        <w:tc>
          <w:tcPr>
            <w:tcW w:w="847" w:type="dxa"/>
            <w:vMerge w:val="continue"/>
            <w:tcBorders>
              <w:tl2br w:val="nil"/>
              <w:tr2bl w:val="nil"/>
            </w:tcBorders>
            <w:noWrap/>
            <w:vAlign w:val="center"/>
          </w:tcPr>
          <w:p/>
        </w:tc>
        <w:tc>
          <w:tcPr>
            <w:tcW w:w="2881" w:type="dxa"/>
            <w:gridSpan w:val="5"/>
            <w:tcBorders>
              <w:tl2br w:val="nil"/>
              <w:tr2bl w:val="nil"/>
            </w:tcBorders>
            <w:noWrap/>
            <w:vAlign w:val="center"/>
          </w:tcPr>
          <w:p>
            <w:r>
              <w:rPr>
                <w:rFonts w:hint="eastAsia"/>
              </w:rPr>
              <w:t>围绕安全生产“遏重大、防一般、减总量”工作目标，以大排查大整治大执法为主线，以“十五条硬措施”为抓手，着力完善大安全大应急框架。扎实推进安全生产专项整治，加强重点行业、重点领域安全监管，压紧压实安全生产责任。聚焦自然灾害防治“不死人、少伤人、少损失”工作目标，着力加强全区应急救援体系建设，不断提高重大突发事件处置保障能力。</w:t>
            </w:r>
          </w:p>
        </w:tc>
        <w:tc>
          <w:tcPr>
            <w:tcW w:w="2584" w:type="dxa"/>
            <w:gridSpan w:val="4"/>
            <w:tcBorders>
              <w:tl2br w:val="nil"/>
              <w:tr2bl w:val="nil"/>
            </w:tcBorders>
            <w:noWrap/>
            <w:vAlign w:val="center"/>
          </w:tcPr>
          <w:p>
            <w:r>
              <w:rPr>
                <w:rFonts w:hint="eastAsia"/>
              </w:rPr>
              <w:t>围绕安全生产“遏重大、防一般、减总量”工作目标，以大排查大整治大执法为主线，以“十五条硬措施”为抓手，着力完善大安全大应急框架。扎实推进安全生产专项整治，加强重点行业、重点领域安全监管，压紧压实安全生产责任。聚焦自然灾害防治“不死人、少伤人、少损失”工作目标，着力加强全区应急救援体系建设，不断提高重大突发事件处置保障能力。</w:t>
            </w:r>
          </w:p>
        </w:tc>
        <w:tc>
          <w:tcPr>
            <w:tcW w:w="3820" w:type="dxa"/>
            <w:gridSpan w:val="3"/>
            <w:tcBorders>
              <w:tl2br w:val="nil"/>
              <w:tr2bl w:val="nil"/>
            </w:tcBorders>
            <w:noWrap/>
            <w:vAlign w:val="center"/>
          </w:tcPr>
          <w:p>
            <w:r>
              <w:rPr>
                <w:rFonts w:hint="eastAsia"/>
              </w:rPr>
              <w:t>坚持“除险固安”工作导向，围绕“统、防、救”三个重点，积极履行应急管理职责。扎实开展党纪学习教育，以实际行动和成效坚定拥护“两个确立”、坚决做到“两个维护”。生产安全事故起数和死亡人数同比“双下降”，自然灾害实现“零死亡”，杜绝了较大及以上事故发生，全区安全生产和自然灾害防治形势稳中向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847" w:type="dxa"/>
            <w:vMerge w:val="restart"/>
            <w:tcBorders>
              <w:tl2br w:val="nil"/>
              <w:tr2bl w:val="nil"/>
            </w:tcBorders>
            <w:noWrap/>
            <w:textDirection w:val="tbRlV"/>
            <w:vAlign w:val="center"/>
          </w:tcPr>
          <w:p>
            <w:pPr>
              <w:jc w:val="center"/>
            </w:pPr>
            <w:r>
              <w:rPr>
                <w:rFonts w:hint="eastAsia"/>
              </w:rPr>
              <w:t>绩效指标</w:t>
            </w:r>
          </w:p>
        </w:tc>
        <w:tc>
          <w:tcPr>
            <w:tcW w:w="756" w:type="dxa"/>
            <w:tcBorders>
              <w:tl2br w:val="nil"/>
              <w:tr2bl w:val="nil"/>
            </w:tcBorders>
            <w:noWrap/>
            <w:vAlign w:val="center"/>
          </w:tcPr>
          <w:p>
            <w:pPr>
              <w:jc w:val="center"/>
            </w:pPr>
            <w:r>
              <w:rPr>
                <w:rFonts w:hint="eastAsia"/>
              </w:rPr>
              <w:t>指标</w:t>
            </w:r>
          </w:p>
          <w:p>
            <w:pPr>
              <w:jc w:val="center"/>
            </w:pPr>
            <w:r>
              <w:rPr>
                <w:rFonts w:hint="eastAsia"/>
              </w:rPr>
              <w:t>名称</w:t>
            </w:r>
          </w:p>
        </w:tc>
        <w:tc>
          <w:tcPr>
            <w:tcW w:w="708" w:type="dxa"/>
            <w:tcBorders>
              <w:tl2br w:val="nil"/>
              <w:tr2bl w:val="nil"/>
            </w:tcBorders>
            <w:noWrap/>
            <w:vAlign w:val="center"/>
          </w:tcPr>
          <w:p>
            <w:pPr>
              <w:jc w:val="center"/>
            </w:pPr>
            <w:r>
              <w:rPr>
                <w:rFonts w:hint="eastAsia"/>
              </w:rPr>
              <w:t>计量</w:t>
            </w:r>
          </w:p>
          <w:p>
            <w:pPr>
              <w:jc w:val="center"/>
            </w:pPr>
            <w:r>
              <w:rPr>
                <w:rFonts w:hint="eastAsia"/>
              </w:rPr>
              <w:t>部门</w:t>
            </w:r>
          </w:p>
        </w:tc>
        <w:tc>
          <w:tcPr>
            <w:tcW w:w="709" w:type="dxa"/>
            <w:tcBorders>
              <w:tl2br w:val="nil"/>
              <w:tr2bl w:val="nil"/>
            </w:tcBorders>
            <w:noWrap/>
            <w:vAlign w:val="center"/>
          </w:tcPr>
          <w:p>
            <w:pPr>
              <w:jc w:val="center"/>
            </w:pPr>
            <w:r>
              <w:rPr>
                <w:rFonts w:hint="eastAsia"/>
              </w:rPr>
              <w:t>指标</w:t>
            </w:r>
          </w:p>
          <w:p>
            <w:pPr>
              <w:jc w:val="center"/>
            </w:pPr>
            <w:r>
              <w:rPr>
                <w:rFonts w:hint="eastAsia"/>
              </w:rPr>
              <w:t>性质</w:t>
            </w:r>
          </w:p>
        </w:tc>
        <w:tc>
          <w:tcPr>
            <w:tcW w:w="708" w:type="dxa"/>
            <w:gridSpan w:val="2"/>
            <w:tcBorders>
              <w:tl2br w:val="nil"/>
              <w:tr2bl w:val="nil"/>
            </w:tcBorders>
            <w:noWrap/>
            <w:vAlign w:val="center"/>
          </w:tcPr>
          <w:p>
            <w:pPr>
              <w:jc w:val="center"/>
            </w:pPr>
            <w:r>
              <w:rPr>
                <w:rFonts w:hint="eastAsia"/>
              </w:rPr>
              <w:t>指标</w:t>
            </w:r>
          </w:p>
          <w:p>
            <w:pPr>
              <w:jc w:val="center"/>
            </w:pPr>
            <w:r>
              <w:rPr>
                <w:rFonts w:hint="eastAsia"/>
              </w:rPr>
              <w:t>值</w:t>
            </w:r>
          </w:p>
        </w:tc>
        <w:tc>
          <w:tcPr>
            <w:tcW w:w="857" w:type="dxa"/>
            <w:gridSpan w:val="2"/>
            <w:tcBorders>
              <w:tl2br w:val="nil"/>
              <w:tr2bl w:val="nil"/>
            </w:tcBorders>
            <w:noWrap/>
            <w:vAlign w:val="center"/>
          </w:tcPr>
          <w:p>
            <w:pPr>
              <w:jc w:val="center"/>
            </w:pPr>
            <w:r>
              <w:rPr>
                <w:rFonts w:hint="eastAsia"/>
              </w:rPr>
              <w:t>全年</w:t>
            </w:r>
          </w:p>
          <w:p>
            <w:pPr>
              <w:jc w:val="center"/>
            </w:pPr>
            <w:r>
              <w:rPr>
                <w:rFonts w:hint="eastAsia"/>
              </w:rPr>
              <w:t>完成值</w:t>
            </w:r>
          </w:p>
        </w:tc>
        <w:tc>
          <w:tcPr>
            <w:tcW w:w="791" w:type="dxa"/>
            <w:tcBorders>
              <w:tl2br w:val="nil"/>
              <w:tr2bl w:val="nil"/>
            </w:tcBorders>
            <w:noWrap/>
            <w:vAlign w:val="center"/>
          </w:tcPr>
          <w:p>
            <w:pPr>
              <w:jc w:val="center"/>
            </w:pPr>
            <w:r>
              <w:rPr>
                <w:rFonts w:hint="eastAsia"/>
              </w:rPr>
              <w:t>偏离度（%）</w:t>
            </w:r>
          </w:p>
        </w:tc>
        <w:tc>
          <w:tcPr>
            <w:tcW w:w="936" w:type="dxa"/>
            <w:tcBorders>
              <w:tl2br w:val="nil"/>
              <w:tr2bl w:val="nil"/>
            </w:tcBorders>
            <w:noWrap/>
            <w:vAlign w:val="center"/>
          </w:tcPr>
          <w:p>
            <w:pPr>
              <w:jc w:val="center"/>
            </w:pPr>
            <w:r>
              <w:rPr>
                <w:rFonts w:hint="eastAsia"/>
              </w:rPr>
              <w:t>得分</w:t>
            </w:r>
          </w:p>
          <w:p>
            <w:pPr>
              <w:jc w:val="center"/>
            </w:pPr>
            <w:r>
              <w:rPr>
                <w:rFonts w:hint="eastAsia"/>
              </w:rPr>
              <w:t>系数</w:t>
            </w:r>
          </w:p>
          <w:p>
            <w:pPr>
              <w:jc w:val="center"/>
            </w:pPr>
            <w:r>
              <w:rPr>
                <w:rFonts w:hint="eastAsia"/>
              </w:rPr>
              <w:t>（%）</w:t>
            </w:r>
          </w:p>
        </w:tc>
        <w:tc>
          <w:tcPr>
            <w:tcW w:w="912" w:type="dxa"/>
            <w:tcBorders>
              <w:tl2br w:val="nil"/>
              <w:tr2bl w:val="nil"/>
            </w:tcBorders>
            <w:noWrap/>
            <w:vAlign w:val="center"/>
          </w:tcPr>
          <w:p>
            <w:pPr>
              <w:jc w:val="center"/>
            </w:pPr>
            <w:r>
              <w:rPr>
                <w:rFonts w:hint="eastAsia"/>
              </w:rPr>
              <w:t>指标</w:t>
            </w:r>
          </w:p>
          <w:p>
            <w:pPr>
              <w:jc w:val="center"/>
            </w:pPr>
            <w:r>
              <w:rPr>
                <w:rFonts w:hint="eastAsia"/>
              </w:rPr>
              <w:t>权重</w:t>
            </w:r>
          </w:p>
          <w:p>
            <w:pPr>
              <w:jc w:val="center"/>
            </w:pPr>
            <w:r>
              <w:rPr>
                <w:rFonts w:hint="eastAsia"/>
              </w:rPr>
              <w:t>（分）</w:t>
            </w:r>
          </w:p>
        </w:tc>
        <w:tc>
          <w:tcPr>
            <w:tcW w:w="768" w:type="dxa"/>
            <w:tcBorders>
              <w:tl2br w:val="nil"/>
              <w:tr2bl w:val="nil"/>
            </w:tcBorders>
            <w:noWrap/>
            <w:vAlign w:val="center"/>
          </w:tcPr>
          <w:p>
            <w:pPr>
              <w:jc w:val="center"/>
            </w:pPr>
            <w:r>
              <w:rPr>
                <w:rFonts w:hint="eastAsia"/>
              </w:rPr>
              <w:t>指标得分</w:t>
            </w:r>
          </w:p>
          <w:p>
            <w:pPr>
              <w:jc w:val="center"/>
            </w:pPr>
            <w:r>
              <w:rPr>
                <w:rFonts w:hint="eastAsia"/>
              </w:rPr>
              <w:t>（分）</w:t>
            </w:r>
          </w:p>
        </w:tc>
        <w:tc>
          <w:tcPr>
            <w:tcW w:w="2140" w:type="dxa"/>
            <w:tcBorders>
              <w:tl2br w:val="nil"/>
              <w:tr2bl w:val="nil"/>
            </w:tcBorders>
            <w:noWrap/>
            <w:vAlign w:val="center"/>
          </w:tcPr>
          <w:p>
            <w:pPr>
              <w:jc w:val="center"/>
            </w:pPr>
            <w:r>
              <w:rPr>
                <w:rFonts w:hint="eastAsia"/>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7" w:type="dxa"/>
            <w:vMerge w:val="continue"/>
            <w:tcBorders>
              <w:tl2br w:val="nil"/>
              <w:tr2bl w:val="nil"/>
            </w:tcBorders>
            <w:noWrap/>
            <w:vAlign w:val="center"/>
          </w:tcPr>
          <w:p/>
        </w:tc>
        <w:tc>
          <w:tcPr>
            <w:tcW w:w="756" w:type="dxa"/>
            <w:tcBorders>
              <w:tl2br w:val="nil"/>
              <w:tr2bl w:val="nil"/>
            </w:tcBorders>
            <w:noWrap/>
            <w:vAlign w:val="center"/>
          </w:tcPr>
          <w:p>
            <w:pPr>
              <w:keepNext w:val="0"/>
              <w:keepLines w:val="0"/>
              <w:widowControl/>
              <w:suppressLineNumbers w:val="0"/>
              <w:jc w:val="left"/>
              <w:textAlignment w:val="center"/>
            </w:pPr>
            <w:r>
              <w:rPr>
                <w:rFonts w:hint="eastAsia" w:ascii="宋体" w:hAnsi="宋体" w:eastAsia="宋体" w:cs="宋体"/>
                <w:i w:val="0"/>
                <w:iCs w:val="0"/>
                <w:color w:val="000000"/>
                <w:kern w:val="0"/>
                <w:sz w:val="22"/>
                <w:szCs w:val="22"/>
                <w:u w:val="none"/>
                <w:lang w:val="en-US" w:eastAsia="zh-CN" w:bidi="ar"/>
              </w:rPr>
              <w:t>较大事故起数</w:t>
            </w:r>
          </w:p>
        </w:tc>
        <w:tc>
          <w:tcPr>
            <w:tcW w:w="708" w:type="dxa"/>
            <w:tcBorders>
              <w:tl2br w:val="nil"/>
              <w:tr2bl w:val="nil"/>
            </w:tcBorders>
            <w:noWrap/>
            <w:vAlign w:val="center"/>
          </w:tcPr>
          <w:p>
            <w:pPr>
              <w:keepNext w:val="0"/>
              <w:keepLines w:val="0"/>
              <w:widowControl/>
              <w:suppressLineNumbers w:val="0"/>
              <w:ind w:firstLine="220" w:firstLineChars="100"/>
              <w:jc w:val="left"/>
              <w:textAlignment w:val="center"/>
            </w:pPr>
            <w:r>
              <w:rPr>
                <w:rFonts w:hint="eastAsia" w:ascii="宋体" w:hAnsi="宋体" w:eastAsia="宋体" w:cs="宋体"/>
                <w:i w:val="0"/>
                <w:iCs w:val="0"/>
                <w:color w:val="000000"/>
                <w:kern w:val="0"/>
                <w:sz w:val="22"/>
                <w:szCs w:val="22"/>
                <w:u w:val="none"/>
                <w:lang w:val="en-US" w:eastAsia="zh-CN" w:bidi="ar"/>
              </w:rPr>
              <w:t>起</w:t>
            </w:r>
          </w:p>
        </w:tc>
        <w:tc>
          <w:tcPr>
            <w:tcW w:w="709" w:type="dxa"/>
            <w:tcBorders>
              <w:tl2br w:val="nil"/>
              <w:tr2bl w:val="nil"/>
            </w:tcBorders>
            <w:noWrap/>
            <w:vAlign w:val="center"/>
          </w:tcPr>
          <w:p>
            <w:pPr>
              <w:keepNext w:val="0"/>
              <w:keepLines w:val="0"/>
              <w:widowControl/>
              <w:suppressLineNumbers w:val="0"/>
              <w:ind w:firstLine="220" w:firstLineChars="100"/>
              <w:jc w:val="left"/>
              <w:textAlignment w:val="center"/>
            </w:pPr>
            <w:r>
              <w:rPr>
                <w:rFonts w:hint="eastAsia" w:ascii="宋体" w:hAnsi="宋体" w:eastAsia="宋体" w:cs="宋体"/>
                <w:i w:val="0"/>
                <w:iCs w:val="0"/>
                <w:color w:val="000000"/>
                <w:kern w:val="0"/>
                <w:sz w:val="22"/>
                <w:szCs w:val="22"/>
                <w:u w:val="none"/>
                <w:lang w:val="en-US" w:eastAsia="zh-CN" w:bidi="ar"/>
              </w:rPr>
              <w:t>≤</w:t>
            </w:r>
          </w:p>
        </w:tc>
        <w:tc>
          <w:tcPr>
            <w:tcW w:w="708" w:type="dxa"/>
            <w:gridSpan w:val="2"/>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1</w:t>
            </w:r>
          </w:p>
        </w:tc>
        <w:tc>
          <w:tcPr>
            <w:tcW w:w="857" w:type="dxa"/>
            <w:gridSpan w:val="2"/>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0</w:t>
            </w:r>
          </w:p>
        </w:tc>
        <w:tc>
          <w:tcPr>
            <w:tcW w:w="791" w:type="dxa"/>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100</w:t>
            </w:r>
          </w:p>
        </w:tc>
        <w:tc>
          <w:tcPr>
            <w:tcW w:w="936" w:type="dxa"/>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100</w:t>
            </w:r>
          </w:p>
        </w:tc>
        <w:tc>
          <w:tcPr>
            <w:tcW w:w="912" w:type="dxa"/>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10</w:t>
            </w:r>
          </w:p>
        </w:tc>
        <w:tc>
          <w:tcPr>
            <w:tcW w:w="768" w:type="dxa"/>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10</w:t>
            </w:r>
          </w:p>
        </w:tc>
        <w:tc>
          <w:tcPr>
            <w:tcW w:w="2140" w:type="dxa"/>
            <w:tcBorders>
              <w:tl2br w:val="nil"/>
              <w:tr2bl w:val="nil"/>
            </w:tcBorders>
            <w:noWrap/>
            <w:vAlign w:val="center"/>
          </w:tcPr>
          <w:p>
            <w:pPr>
              <w:keepNext w:val="0"/>
              <w:keepLines w:val="0"/>
              <w:widowControl/>
              <w:suppressLineNumbers w:val="0"/>
              <w:jc w:val="left"/>
              <w:textAlignment w:val="center"/>
            </w:pPr>
            <w:r>
              <w:rPr>
                <w:rFonts w:hint="eastAsia" w:ascii="宋体" w:hAnsi="宋体" w:eastAsia="宋体" w:cs="宋体"/>
                <w:i w:val="0"/>
                <w:iCs w:val="0"/>
                <w:color w:val="000000"/>
                <w:kern w:val="0"/>
                <w:sz w:val="22"/>
                <w:szCs w:val="22"/>
                <w:u w:val="none"/>
                <w:lang w:val="en-US" w:eastAsia="zh-CN" w:bidi="ar"/>
              </w:rPr>
              <w:t>当年未发生较大以上生产安全事故。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7" w:type="dxa"/>
            <w:vMerge w:val="continue"/>
            <w:tcBorders>
              <w:tl2br w:val="nil"/>
              <w:tr2bl w:val="nil"/>
            </w:tcBorders>
            <w:noWrap/>
            <w:vAlign w:val="center"/>
          </w:tcPr>
          <w:p/>
        </w:tc>
        <w:tc>
          <w:tcPr>
            <w:tcW w:w="756" w:type="dxa"/>
            <w:tcBorders>
              <w:tl2br w:val="nil"/>
              <w:tr2bl w:val="nil"/>
            </w:tcBorders>
            <w:noWrap/>
            <w:vAlign w:val="center"/>
          </w:tcPr>
          <w:p>
            <w:pPr>
              <w:keepNext w:val="0"/>
              <w:keepLines w:val="0"/>
              <w:widowControl/>
              <w:suppressLineNumbers w:val="0"/>
              <w:jc w:val="left"/>
              <w:textAlignment w:val="center"/>
            </w:pPr>
            <w:r>
              <w:rPr>
                <w:rFonts w:hint="eastAsia" w:ascii="宋体" w:hAnsi="宋体" w:eastAsia="宋体" w:cs="宋体"/>
                <w:i w:val="0"/>
                <w:iCs w:val="0"/>
                <w:color w:val="000000"/>
                <w:kern w:val="0"/>
                <w:sz w:val="22"/>
                <w:szCs w:val="22"/>
                <w:u w:val="none"/>
                <w:lang w:val="en-US" w:eastAsia="zh-CN" w:bidi="ar"/>
              </w:rPr>
              <w:t>应急干部培训次数</w:t>
            </w:r>
          </w:p>
        </w:tc>
        <w:tc>
          <w:tcPr>
            <w:tcW w:w="708" w:type="dxa"/>
            <w:tcBorders>
              <w:tl2br w:val="nil"/>
              <w:tr2bl w:val="nil"/>
            </w:tcBorders>
            <w:noWrap/>
            <w:vAlign w:val="center"/>
          </w:tcPr>
          <w:p>
            <w:pPr>
              <w:keepNext w:val="0"/>
              <w:keepLines w:val="0"/>
              <w:widowControl/>
              <w:suppressLineNumbers w:val="0"/>
              <w:ind w:firstLine="220" w:firstLineChars="100"/>
              <w:jc w:val="left"/>
              <w:textAlignment w:val="center"/>
            </w:pPr>
            <w:r>
              <w:rPr>
                <w:rFonts w:hint="eastAsia" w:ascii="宋体" w:hAnsi="宋体" w:eastAsia="宋体" w:cs="宋体"/>
                <w:i w:val="0"/>
                <w:iCs w:val="0"/>
                <w:color w:val="000000"/>
                <w:kern w:val="0"/>
                <w:sz w:val="22"/>
                <w:szCs w:val="22"/>
                <w:u w:val="none"/>
                <w:lang w:val="en-US" w:eastAsia="zh-CN" w:bidi="ar"/>
              </w:rPr>
              <w:t>次</w:t>
            </w:r>
          </w:p>
        </w:tc>
        <w:tc>
          <w:tcPr>
            <w:tcW w:w="709" w:type="dxa"/>
            <w:tcBorders>
              <w:tl2br w:val="nil"/>
              <w:tr2bl w:val="nil"/>
            </w:tcBorders>
            <w:noWrap/>
            <w:vAlign w:val="center"/>
          </w:tcPr>
          <w:p>
            <w:pPr>
              <w:keepNext w:val="0"/>
              <w:keepLines w:val="0"/>
              <w:widowControl/>
              <w:suppressLineNumbers w:val="0"/>
              <w:ind w:firstLine="220" w:firstLineChars="100"/>
              <w:jc w:val="left"/>
              <w:textAlignment w:val="center"/>
            </w:pPr>
            <w:r>
              <w:rPr>
                <w:rFonts w:hint="eastAsia" w:ascii="宋体" w:hAnsi="宋体" w:eastAsia="宋体" w:cs="宋体"/>
                <w:i w:val="0"/>
                <w:iCs w:val="0"/>
                <w:color w:val="000000"/>
                <w:kern w:val="0"/>
                <w:sz w:val="22"/>
                <w:szCs w:val="22"/>
                <w:u w:val="none"/>
                <w:lang w:val="en-US" w:eastAsia="zh-CN" w:bidi="ar"/>
              </w:rPr>
              <w:t>≥</w:t>
            </w:r>
          </w:p>
        </w:tc>
        <w:tc>
          <w:tcPr>
            <w:tcW w:w="708" w:type="dxa"/>
            <w:gridSpan w:val="2"/>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1</w:t>
            </w:r>
          </w:p>
        </w:tc>
        <w:tc>
          <w:tcPr>
            <w:tcW w:w="857" w:type="dxa"/>
            <w:gridSpan w:val="2"/>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2</w:t>
            </w:r>
          </w:p>
        </w:tc>
        <w:tc>
          <w:tcPr>
            <w:tcW w:w="791" w:type="dxa"/>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100</w:t>
            </w:r>
          </w:p>
        </w:tc>
        <w:tc>
          <w:tcPr>
            <w:tcW w:w="936" w:type="dxa"/>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100</w:t>
            </w:r>
          </w:p>
        </w:tc>
        <w:tc>
          <w:tcPr>
            <w:tcW w:w="912" w:type="dxa"/>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5</w:t>
            </w:r>
          </w:p>
        </w:tc>
        <w:tc>
          <w:tcPr>
            <w:tcW w:w="768" w:type="dxa"/>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5</w:t>
            </w:r>
          </w:p>
        </w:tc>
        <w:tc>
          <w:tcPr>
            <w:tcW w:w="2140" w:type="dxa"/>
            <w:tcBorders>
              <w:tl2br w:val="nil"/>
              <w:tr2bl w:val="nil"/>
            </w:tcBorders>
            <w:noWrap/>
            <w:vAlign w:val="center"/>
          </w:tcPr>
          <w:p>
            <w:pPr>
              <w:keepNext w:val="0"/>
              <w:keepLines w:val="0"/>
              <w:widowControl/>
              <w:suppressLineNumbers w:val="0"/>
              <w:jc w:val="left"/>
              <w:textAlignment w:val="center"/>
            </w:pPr>
            <w:r>
              <w:rPr>
                <w:rFonts w:hint="eastAsia" w:ascii="宋体" w:hAnsi="宋体" w:eastAsia="宋体" w:cs="宋体"/>
                <w:i w:val="0"/>
                <w:iCs w:val="0"/>
                <w:color w:val="000000"/>
                <w:kern w:val="0"/>
                <w:sz w:val="22"/>
                <w:szCs w:val="22"/>
                <w:u w:val="none"/>
                <w:lang w:val="en-US" w:eastAsia="zh-CN" w:bidi="ar"/>
              </w:rPr>
              <w:t>当年举办一次应急干部培训，分两个班次进行。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7" w:type="dxa"/>
            <w:vMerge w:val="continue"/>
            <w:tcBorders>
              <w:tl2br w:val="nil"/>
              <w:tr2bl w:val="nil"/>
            </w:tcBorders>
            <w:noWrap/>
            <w:vAlign w:val="center"/>
          </w:tcPr>
          <w:p/>
        </w:tc>
        <w:tc>
          <w:tcPr>
            <w:tcW w:w="756" w:type="dxa"/>
            <w:tcBorders>
              <w:tl2br w:val="nil"/>
              <w:tr2bl w:val="nil"/>
            </w:tcBorders>
            <w:noWrap/>
            <w:vAlign w:val="center"/>
          </w:tcPr>
          <w:p>
            <w:pPr>
              <w:keepNext w:val="0"/>
              <w:keepLines w:val="0"/>
              <w:widowControl/>
              <w:suppressLineNumbers w:val="0"/>
              <w:jc w:val="left"/>
              <w:textAlignment w:val="center"/>
            </w:pPr>
            <w:r>
              <w:rPr>
                <w:rFonts w:hint="eastAsia" w:ascii="宋体" w:hAnsi="宋体" w:eastAsia="宋体" w:cs="宋体"/>
                <w:i w:val="0"/>
                <w:iCs w:val="0"/>
                <w:color w:val="000000"/>
                <w:kern w:val="0"/>
                <w:sz w:val="22"/>
                <w:szCs w:val="22"/>
                <w:u w:val="none"/>
                <w:lang w:val="en-US" w:eastAsia="zh-CN" w:bidi="ar"/>
              </w:rPr>
              <w:t>专项督查次数</w:t>
            </w:r>
          </w:p>
        </w:tc>
        <w:tc>
          <w:tcPr>
            <w:tcW w:w="708" w:type="dxa"/>
            <w:tcBorders>
              <w:tl2br w:val="nil"/>
              <w:tr2bl w:val="nil"/>
            </w:tcBorders>
            <w:noWrap/>
            <w:vAlign w:val="center"/>
          </w:tcPr>
          <w:p>
            <w:pPr>
              <w:keepNext w:val="0"/>
              <w:keepLines w:val="0"/>
              <w:widowControl/>
              <w:suppressLineNumbers w:val="0"/>
              <w:ind w:firstLine="220" w:firstLineChars="100"/>
              <w:jc w:val="left"/>
              <w:textAlignment w:val="center"/>
            </w:pPr>
            <w:r>
              <w:rPr>
                <w:rFonts w:hint="eastAsia" w:ascii="宋体" w:hAnsi="宋体" w:eastAsia="宋体" w:cs="宋体"/>
                <w:i w:val="0"/>
                <w:iCs w:val="0"/>
                <w:color w:val="000000"/>
                <w:kern w:val="0"/>
                <w:sz w:val="22"/>
                <w:szCs w:val="22"/>
                <w:u w:val="none"/>
                <w:lang w:val="en-US" w:eastAsia="zh-CN" w:bidi="ar"/>
              </w:rPr>
              <w:t>次</w:t>
            </w:r>
          </w:p>
        </w:tc>
        <w:tc>
          <w:tcPr>
            <w:tcW w:w="709" w:type="dxa"/>
            <w:tcBorders>
              <w:tl2br w:val="nil"/>
              <w:tr2bl w:val="nil"/>
            </w:tcBorders>
            <w:noWrap/>
            <w:vAlign w:val="center"/>
          </w:tcPr>
          <w:p>
            <w:pPr>
              <w:keepNext w:val="0"/>
              <w:keepLines w:val="0"/>
              <w:widowControl/>
              <w:suppressLineNumbers w:val="0"/>
              <w:ind w:firstLine="220" w:firstLineChars="100"/>
              <w:jc w:val="left"/>
              <w:textAlignment w:val="center"/>
            </w:pPr>
            <w:r>
              <w:rPr>
                <w:rFonts w:hint="eastAsia" w:ascii="宋体" w:hAnsi="宋体" w:eastAsia="宋体" w:cs="宋体"/>
                <w:i w:val="0"/>
                <w:iCs w:val="0"/>
                <w:color w:val="000000"/>
                <w:kern w:val="0"/>
                <w:sz w:val="22"/>
                <w:szCs w:val="22"/>
                <w:u w:val="none"/>
                <w:lang w:val="en-US" w:eastAsia="zh-CN" w:bidi="ar"/>
              </w:rPr>
              <w:t>≥</w:t>
            </w:r>
          </w:p>
        </w:tc>
        <w:tc>
          <w:tcPr>
            <w:tcW w:w="708" w:type="dxa"/>
            <w:gridSpan w:val="2"/>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6</w:t>
            </w:r>
          </w:p>
        </w:tc>
        <w:tc>
          <w:tcPr>
            <w:tcW w:w="857" w:type="dxa"/>
            <w:gridSpan w:val="2"/>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6</w:t>
            </w:r>
          </w:p>
        </w:tc>
        <w:tc>
          <w:tcPr>
            <w:tcW w:w="791" w:type="dxa"/>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0</w:t>
            </w:r>
          </w:p>
        </w:tc>
        <w:tc>
          <w:tcPr>
            <w:tcW w:w="936" w:type="dxa"/>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100</w:t>
            </w:r>
          </w:p>
        </w:tc>
        <w:tc>
          <w:tcPr>
            <w:tcW w:w="912" w:type="dxa"/>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10</w:t>
            </w:r>
          </w:p>
        </w:tc>
        <w:tc>
          <w:tcPr>
            <w:tcW w:w="768" w:type="dxa"/>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10</w:t>
            </w:r>
          </w:p>
        </w:tc>
        <w:tc>
          <w:tcPr>
            <w:tcW w:w="2140" w:type="dxa"/>
            <w:tcBorders>
              <w:tl2br w:val="nil"/>
              <w:tr2bl w:val="nil"/>
            </w:tcBorders>
            <w:noWrap/>
            <w:vAlign w:val="center"/>
          </w:tcPr>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7" w:type="dxa"/>
            <w:vMerge w:val="continue"/>
            <w:tcBorders>
              <w:tl2br w:val="nil"/>
              <w:tr2bl w:val="nil"/>
            </w:tcBorders>
            <w:noWrap/>
            <w:vAlign w:val="center"/>
          </w:tcPr>
          <w:p/>
        </w:tc>
        <w:tc>
          <w:tcPr>
            <w:tcW w:w="756" w:type="dxa"/>
            <w:tcBorders>
              <w:tl2br w:val="nil"/>
              <w:tr2bl w:val="nil"/>
            </w:tcBorders>
            <w:noWrap/>
            <w:vAlign w:val="center"/>
          </w:tcPr>
          <w:p>
            <w:pPr>
              <w:keepNext w:val="0"/>
              <w:keepLines w:val="0"/>
              <w:widowControl/>
              <w:suppressLineNumbers w:val="0"/>
              <w:jc w:val="left"/>
              <w:textAlignment w:val="center"/>
            </w:pPr>
            <w:r>
              <w:rPr>
                <w:rFonts w:hint="eastAsia" w:ascii="宋体" w:hAnsi="宋体" w:eastAsia="宋体" w:cs="宋体"/>
                <w:i w:val="0"/>
                <w:iCs w:val="0"/>
                <w:color w:val="000000"/>
                <w:kern w:val="0"/>
                <w:sz w:val="22"/>
                <w:szCs w:val="22"/>
                <w:u w:val="none"/>
                <w:lang w:val="en-US" w:eastAsia="zh-CN" w:bidi="ar"/>
              </w:rPr>
              <w:t>预决算公开情况</w:t>
            </w:r>
          </w:p>
        </w:tc>
        <w:tc>
          <w:tcPr>
            <w:tcW w:w="708" w:type="dxa"/>
            <w:tcBorders>
              <w:tl2br w:val="nil"/>
              <w:tr2bl w:val="nil"/>
            </w:tcBorders>
            <w:noWrap/>
            <w:vAlign w:val="center"/>
          </w:tcPr>
          <w:p>
            <w:pPr>
              <w:jc w:val="left"/>
            </w:pPr>
          </w:p>
        </w:tc>
        <w:tc>
          <w:tcPr>
            <w:tcW w:w="709" w:type="dxa"/>
            <w:tcBorders>
              <w:tl2br w:val="nil"/>
              <w:tr2bl w:val="nil"/>
            </w:tcBorders>
            <w:noWrap/>
            <w:vAlign w:val="center"/>
          </w:tcPr>
          <w:p>
            <w:pPr>
              <w:keepNext w:val="0"/>
              <w:keepLines w:val="0"/>
              <w:widowControl/>
              <w:suppressLineNumbers w:val="0"/>
              <w:jc w:val="left"/>
              <w:textAlignment w:val="center"/>
            </w:pPr>
            <w:r>
              <w:rPr>
                <w:rFonts w:hint="eastAsia" w:ascii="宋体" w:hAnsi="宋体" w:eastAsia="宋体" w:cs="宋体"/>
                <w:i w:val="0"/>
                <w:iCs w:val="0"/>
                <w:color w:val="000000"/>
                <w:kern w:val="0"/>
                <w:sz w:val="22"/>
                <w:szCs w:val="22"/>
                <w:u w:val="none"/>
                <w:lang w:val="en-US" w:eastAsia="zh-CN" w:bidi="ar"/>
              </w:rPr>
              <w:t>定性</w:t>
            </w:r>
          </w:p>
        </w:tc>
        <w:tc>
          <w:tcPr>
            <w:tcW w:w="708" w:type="dxa"/>
            <w:gridSpan w:val="2"/>
            <w:tcBorders>
              <w:tl2br w:val="nil"/>
              <w:tr2bl w:val="nil"/>
            </w:tcBorders>
            <w:noWrap/>
            <w:vAlign w:val="center"/>
          </w:tcPr>
          <w:p>
            <w:pPr>
              <w:keepNext w:val="0"/>
              <w:keepLines w:val="0"/>
              <w:widowControl/>
              <w:suppressLineNumbers w:val="0"/>
              <w:jc w:val="both"/>
              <w:textAlignment w:val="center"/>
              <w:rPr>
                <w:rFonts w:hint="eastAsia" w:eastAsia="宋体"/>
                <w:lang w:val="en-US" w:eastAsia="zh-CN"/>
              </w:rPr>
            </w:pPr>
            <w:r>
              <w:rPr>
                <w:rFonts w:hint="eastAsia" w:ascii="宋体" w:hAnsi="宋体" w:eastAsia="宋体" w:cs="宋体"/>
                <w:i w:val="0"/>
                <w:iCs w:val="0"/>
                <w:color w:val="000000"/>
                <w:kern w:val="0"/>
                <w:sz w:val="22"/>
                <w:szCs w:val="22"/>
                <w:u w:val="none"/>
                <w:lang w:val="en-US" w:eastAsia="zh-CN" w:bidi="ar"/>
              </w:rPr>
              <w:t>公开内容</w:t>
            </w:r>
            <w:r>
              <w:rPr>
                <w:rFonts w:hint="eastAsia" w:ascii="宋体" w:hAnsi="宋体" w:cs="宋体"/>
                <w:i w:val="0"/>
                <w:iCs w:val="0"/>
                <w:color w:val="000000"/>
                <w:kern w:val="0"/>
                <w:sz w:val="22"/>
                <w:szCs w:val="22"/>
                <w:u w:val="none"/>
                <w:lang w:val="en-US" w:eastAsia="zh-CN" w:bidi="ar"/>
              </w:rPr>
              <w:t>完整全面及时</w:t>
            </w:r>
          </w:p>
        </w:tc>
        <w:tc>
          <w:tcPr>
            <w:tcW w:w="857" w:type="dxa"/>
            <w:gridSpan w:val="2"/>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1</w:t>
            </w:r>
          </w:p>
        </w:tc>
        <w:tc>
          <w:tcPr>
            <w:tcW w:w="791" w:type="dxa"/>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0</w:t>
            </w:r>
          </w:p>
        </w:tc>
        <w:tc>
          <w:tcPr>
            <w:tcW w:w="936" w:type="dxa"/>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100</w:t>
            </w:r>
          </w:p>
        </w:tc>
        <w:tc>
          <w:tcPr>
            <w:tcW w:w="912" w:type="dxa"/>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10</w:t>
            </w:r>
          </w:p>
        </w:tc>
        <w:tc>
          <w:tcPr>
            <w:tcW w:w="768" w:type="dxa"/>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10</w:t>
            </w:r>
          </w:p>
        </w:tc>
        <w:tc>
          <w:tcPr>
            <w:tcW w:w="2140" w:type="dxa"/>
            <w:tcBorders>
              <w:tl2br w:val="nil"/>
              <w:tr2bl w:val="nil"/>
            </w:tcBorders>
            <w:noWrap/>
            <w:vAlign w:val="center"/>
          </w:tcPr>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7" w:type="dxa"/>
            <w:vMerge w:val="continue"/>
            <w:tcBorders>
              <w:tl2br w:val="nil"/>
              <w:tr2bl w:val="nil"/>
            </w:tcBorders>
            <w:noWrap/>
            <w:vAlign w:val="center"/>
          </w:tcPr>
          <w:p/>
        </w:tc>
        <w:tc>
          <w:tcPr>
            <w:tcW w:w="756" w:type="dxa"/>
            <w:tcBorders>
              <w:tl2br w:val="nil"/>
              <w:tr2bl w:val="nil"/>
            </w:tcBorders>
            <w:noWrap/>
            <w:vAlign w:val="center"/>
          </w:tcPr>
          <w:p>
            <w:pPr>
              <w:keepNext w:val="0"/>
              <w:keepLines w:val="0"/>
              <w:widowControl/>
              <w:suppressLineNumbers w:val="0"/>
              <w:jc w:val="left"/>
              <w:textAlignment w:val="center"/>
            </w:pPr>
            <w:r>
              <w:rPr>
                <w:rFonts w:hint="eastAsia" w:ascii="宋体" w:hAnsi="宋体" w:eastAsia="宋体" w:cs="宋体"/>
                <w:i w:val="0"/>
                <w:iCs w:val="0"/>
                <w:color w:val="000000"/>
                <w:kern w:val="0"/>
                <w:sz w:val="22"/>
                <w:szCs w:val="22"/>
                <w:u w:val="none"/>
                <w:lang w:val="en-US" w:eastAsia="zh-CN" w:bidi="ar"/>
              </w:rPr>
              <w:t>隐患排查整治率</w:t>
            </w:r>
          </w:p>
        </w:tc>
        <w:tc>
          <w:tcPr>
            <w:tcW w:w="708" w:type="dxa"/>
            <w:tcBorders>
              <w:tl2br w:val="nil"/>
              <w:tr2bl w:val="nil"/>
            </w:tcBorders>
            <w:noWrap/>
            <w:vAlign w:val="center"/>
          </w:tcPr>
          <w:p>
            <w:pPr>
              <w:keepNext w:val="0"/>
              <w:keepLines w:val="0"/>
              <w:widowControl/>
              <w:suppressLineNumbers w:val="0"/>
              <w:ind w:firstLine="220" w:firstLineChars="100"/>
              <w:jc w:val="left"/>
              <w:textAlignment w:val="center"/>
            </w:pPr>
            <w:r>
              <w:rPr>
                <w:rFonts w:hint="eastAsia" w:ascii="宋体" w:hAnsi="宋体" w:eastAsia="宋体" w:cs="宋体"/>
                <w:i w:val="0"/>
                <w:iCs w:val="0"/>
                <w:color w:val="000000"/>
                <w:kern w:val="0"/>
                <w:sz w:val="22"/>
                <w:szCs w:val="22"/>
                <w:u w:val="none"/>
                <w:lang w:val="en-US" w:eastAsia="zh-CN" w:bidi="ar"/>
              </w:rPr>
              <w:t>%</w:t>
            </w:r>
          </w:p>
        </w:tc>
        <w:tc>
          <w:tcPr>
            <w:tcW w:w="709" w:type="dxa"/>
            <w:tcBorders>
              <w:tl2br w:val="nil"/>
              <w:tr2bl w:val="nil"/>
            </w:tcBorders>
            <w:noWrap/>
            <w:vAlign w:val="center"/>
          </w:tcPr>
          <w:p>
            <w:pPr>
              <w:keepNext w:val="0"/>
              <w:keepLines w:val="0"/>
              <w:widowControl/>
              <w:suppressLineNumbers w:val="0"/>
              <w:ind w:firstLine="220" w:firstLineChars="100"/>
              <w:jc w:val="left"/>
              <w:textAlignment w:val="center"/>
            </w:pPr>
            <w:r>
              <w:rPr>
                <w:rFonts w:hint="eastAsia" w:ascii="宋体" w:hAnsi="宋体" w:eastAsia="宋体" w:cs="宋体"/>
                <w:i w:val="0"/>
                <w:iCs w:val="0"/>
                <w:color w:val="000000"/>
                <w:kern w:val="0"/>
                <w:sz w:val="22"/>
                <w:szCs w:val="22"/>
                <w:u w:val="none"/>
                <w:lang w:val="en-US" w:eastAsia="zh-CN" w:bidi="ar"/>
              </w:rPr>
              <w:t>≥</w:t>
            </w:r>
          </w:p>
        </w:tc>
        <w:tc>
          <w:tcPr>
            <w:tcW w:w="708" w:type="dxa"/>
            <w:gridSpan w:val="2"/>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90</w:t>
            </w:r>
          </w:p>
        </w:tc>
        <w:tc>
          <w:tcPr>
            <w:tcW w:w="857" w:type="dxa"/>
            <w:gridSpan w:val="2"/>
            <w:tcBorders>
              <w:tl2br w:val="nil"/>
              <w:tr2bl w:val="nil"/>
            </w:tcBorders>
            <w:noWrap/>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99.7</w:t>
            </w:r>
          </w:p>
        </w:tc>
        <w:tc>
          <w:tcPr>
            <w:tcW w:w="791" w:type="dxa"/>
            <w:tcBorders>
              <w:tl2br w:val="nil"/>
              <w:tr2bl w:val="nil"/>
            </w:tcBorders>
            <w:noWrap/>
            <w:vAlign w:val="center"/>
          </w:tcPr>
          <w:p>
            <w:pPr>
              <w:keepNext w:val="0"/>
              <w:keepLines w:val="0"/>
              <w:widowControl/>
              <w:suppressLineNumbers w:val="0"/>
              <w:jc w:val="both"/>
              <w:textAlignment w:val="center"/>
            </w:pPr>
            <w:r>
              <w:rPr>
                <w:rFonts w:hint="eastAsia" w:ascii="宋体" w:hAnsi="宋体" w:eastAsia="宋体" w:cs="宋体"/>
                <w:i w:val="0"/>
                <w:iCs w:val="0"/>
                <w:color w:val="000000"/>
                <w:kern w:val="0"/>
                <w:sz w:val="22"/>
                <w:szCs w:val="22"/>
                <w:u w:val="none"/>
                <w:lang w:val="en-US" w:eastAsia="zh-CN" w:bidi="ar"/>
              </w:rPr>
              <w:t>10.78</w:t>
            </w:r>
          </w:p>
        </w:tc>
        <w:tc>
          <w:tcPr>
            <w:tcW w:w="936" w:type="dxa"/>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100</w:t>
            </w:r>
          </w:p>
        </w:tc>
        <w:tc>
          <w:tcPr>
            <w:tcW w:w="912" w:type="dxa"/>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10</w:t>
            </w:r>
          </w:p>
        </w:tc>
        <w:tc>
          <w:tcPr>
            <w:tcW w:w="768" w:type="dxa"/>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10</w:t>
            </w:r>
          </w:p>
        </w:tc>
        <w:tc>
          <w:tcPr>
            <w:tcW w:w="2140" w:type="dxa"/>
            <w:tcBorders>
              <w:tl2br w:val="nil"/>
              <w:tr2bl w:val="nil"/>
            </w:tcBorders>
            <w:noWrap/>
            <w:vAlign w:val="center"/>
          </w:tcPr>
          <w:p>
            <w:pPr>
              <w:keepNext w:val="0"/>
              <w:keepLines w:val="0"/>
              <w:widowControl/>
              <w:suppressLineNumbers w:val="0"/>
              <w:jc w:val="left"/>
              <w:textAlignment w:val="center"/>
            </w:pPr>
            <w:r>
              <w:rPr>
                <w:rFonts w:hint="eastAsia" w:ascii="宋体" w:hAnsi="宋体" w:eastAsia="宋体" w:cs="宋体"/>
                <w:i w:val="0"/>
                <w:iCs w:val="0"/>
                <w:color w:val="000000"/>
                <w:kern w:val="0"/>
                <w:sz w:val="22"/>
                <w:szCs w:val="22"/>
                <w:u w:val="none"/>
                <w:lang w:val="en-US" w:eastAsia="zh-CN" w:bidi="ar"/>
              </w:rPr>
              <w:t>全区排查重大事故隐患632个，已整改630个，整改率99.7%。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7" w:type="dxa"/>
            <w:vMerge w:val="continue"/>
            <w:tcBorders>
              <w:tl2br w:val="nil"/>
              <w:tr2bl w:val="nil"/>
            </w:tcBorders>
            <w:noWrap/>
            <w:vAlign w:val="center"/>
          </w:tcPr>
          <w:p/>
        </w:tc>
        <w:tc>
          <w:tcPr>
            <w:tcW w:w="756" w:type="dxa"/>
            <w:tcBorders>
              <w:tl2br w:val="nil"/>
              <w:tr2bl w:val="nil"/>
            </w:tcBorders>
            <w:noWrap/>
            <w:vAlign w:val="center"/>
          </w:tcPr>
          <w:p>
            <w:pPr>
              <w:keepNext w:val="0"/>
              <w:keepLines w:val="0"/>
              <w:widowControl/>
              <w:suppressLineNumbers w:val="0"/>
              <w:jc w:val="left"/>
              <w:textAlignment w:val="center"/>
            </w:pPr>
            <w:r>
              <w:rPr>
                <w:rFonts w:hint="eastAsia" w:ascii="宋体" w:hAnsi="宋体" w:eastAsia="宋体" w:cs="宋体"/>
                <w:i w:val="0"/>
                <w:iCs w:val="0"/>
                <w:color w:val="000000"/>
                <w:kern w:val="0"/>
                <w:sz w:val="22"/>
                <w:szCs w:val="22"/>
                <w:u w:val="none"/>
                <w:lang w:val="en-US" w:eastAsia="zh-CN" w:bidi="ar"/>
              </w:rPr>
              <w:t>应急响应时间</w:t>
            </w:r>
          </w:p>
        </w:tc>
        <w:tc>
          <w:tcPr>
            <w:tcW w:w="708" w:type="dxa"/>
            <w:tcBorders>
              <w:tl2br w:val="nil"/>
              <w:tr2bl w:val="nil"/>
            </w:tcBorders>
            <w:noWrap/>
            <w:vAlign w:val="center"/>
          </w:tcPr>
          <w:p>
            <w:pPr>
              <w:keepNext w:val="0"/>
              <w:keepLines w:val="0"/>
              <w:widowControl/>
              <w:suppressLineNumbers w:val="0"/>
              <w:ind w:firstLine="220" w:firstLineChars="100"/>
              <w:jc w:val="left"/>
              <w:textAlignment w:val="center"/>
            </w:pPr>
            <w:r>
              <w:rPr>
                <w:rFonts w:hint="eastAsia" w:ascii="宋体" w:hAnsi="宋体" w:eastAsia="宋体" w:cs="宋体"/>
                <w:i w:val="0"/>
                <w:iCs w:val="0"/>
                <w:color w:val="000000"/>
                <w:kern w:val="0"/>
                <w:sz w:val="22"/>
                <w:szCs w:val="22"/>
                <w:u w:val="none"/>
                <w:lang w:val="en-US" w:eastAsia="zh-CN" w:bidi="ar"/>
              </w:rPr>
              <w:t>小时</w:t>
            </w:r>
          </w:p>
        </w:tc>
        <w:tc>
          <w:tcPr>
            <w:tcW w:w="709" w:type="dxa"/>
            <w:tcBorders>
              <w:tl2br w:val="nil"/>
              <w:tr2bl w:val="nil"/>
            </w:tcBorders>
            <w:noWrap/>
            <w:vAlign w:val="center"/>
          </w:tcPr>
          <w:p>
            <w:pPr>
              <w:keepNext w:val="0"/>
              <w:keepLines w:val="0"/>
              <w:widowControl/>
              <w:suppressLineNumbers w:val="0"/>
              <w:ind w:firstLine="220" w:firstLineChars="100"/>
              <w:jc w:val="left"/>
              <w:textAlignment w:val="center"/>
            </w:pPr>
            <w:r>
              <w:rPr>
                <w:rFonts w:hint="eastAsia" w:ascii="宋体" w:hAnsi="宋体" w:eastAsia="宋体" w:cs="宋体"/>
                <w:i w:val="0"/>
                <w:iCs w:val="0"/>
                <w:color w:val="000000"/>
                <w:kern w:val="0"/>
                <w:sz w:val="22"/>
                <w:szCs w:val="22"/>
                <w:u w:val="none"/>
                <w:lang w:val="en-US" w:eastAsia="zh-CN" w:bidi="ar"/>
              </w:rPr>
              <w:t>≤</w:t>
            </w:r>
          </w:p>
        </w:tc>
        <w:tc>
          <w:tcPr>
            <w:tcW w:w="708" w:type="dxa"/>
            <w:gridSpan w:val="2"/>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2</w:t>
            </w:r>
          </w:p>
        </w:tc>
        <w:tc>
          <w:tcPr>
            <w:tcW w:w="857" w:type="dxa"/>
            <w:gridSpan w:val="2"/>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1.5</w:t>
            </w:r>
          </w:p>
        </w:tc>
        <w:tc>
          <w:tcPr>
            <w:tcW w:w="791" w:type="dxa"/>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25</w:t>
            </w:r>
          </w:p>
        </w:tc>
        <w:tc>
          <w:tcPr>
            <w:tcW w:w="936" w:type="dxa"/>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100</w:t>
            </w:r>
          </w:p>
        </w:tc>
        <w:tc>
          <w:tcPr>
            <w:tcW w:w="912" w:type="dxa"/>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10</w:t>
            </w:r>
          </w:p>
        </w:tc>
        <w:tc>
          <w:tcPr>
            <w:tcW w:w="768" w:type="dxa"/>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10</w:t>
            </w:r>
          </w:p>
        </w:tc>
        <w:tc>
          <w:tcPr>
            <w:tcW w:w="2140" w:type="dxa"/>
            <w:tcBorders>
              <w:tl2br w:val="nil"/>
              <w:tr2bl w:val="nil"/>
            </w:tcBorders>
            <w:noWrap/>
            <w:vAlign w:val="center"/>
          </w:tcPr>
          <w:p>
            <w:pPr>
              <w:keepNext w:val="0"/>
              <w:keepLines w:val="0"/>
              <w:widowControl/>
              <w:suppressLineNumbers w:val="0"/>
              <w:jc w:val="left"/>
              <w:textAlignment w:val="center"/>
            </w:pPr>
            <w:r>
              <w:rPr>
                <w:rFonts w:hint="eastAsia" w:ascii="宋体" w:hAnsi="宋体" w:eastAsia="宋体" w:cs="宋体"/>
                <w:i w:val="0"/>
                <w:iCs w:val="0"/>
                <w:color w:val="000000"/>
                <w:kern w:val="0"/>
                <w:sz w:val="22"/>
                <w:szCs w:val="22"/>
                <w:u w:val="none"/>
                <w:lang w:val="en-US" w:eastAsia="zh-CN" w:bidi="ar"/>
              </w:rPr>
              <w:t>应急响应救援到位时间控制在了1.5小时内。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7" w:type="dxa"/>
            <w:vMerge w:val="continue"/>
            <w:tcBorders>
              <w:tl2br w:val="nil"/>
              <w:tr2bl w:val="nil"/>
            </w:tcBorders>
            <w:noWrap/>
            <w:vAlign w:val="center"/>
          </w:tcPr>
          <w:p/>
        </w:tc>
        <w:tc>
          <w:tcPr>
            <w:tcW w:w="756" w:type="dxa"/>
            <w:tcBorders>
              <w:tl2br w:val="nil"/>
              <w:tr2bl w:val="nil"/>
            </w:tcBorders>
            <w:noWrap/>
            <w:vAlign w:val="center"/>
          </w:tcPr>
          <w:p>
            <w:pPr>
              <w:keepNext w:val="0"/>
              <w:keepLines w:val="0"/>
              <w:widowControl/>
              <w:suppressLineNumbers w:val="0"/>
              <w:jc w:val="left"/>
              <w:textAlignment w:val="center"/>
            </w:pPr>
            <w:r>
              <w:rPr>
                <w:rFonts w:hint="eastAsia" w:ascii="宋体" w:hAnsi="宋体" w:eastAsia="宋体" w:cs="宋体"/>
                <w:i w:val="0"/>
                <w:iCs w:val="0"/>
                <w:color w:val="000000"/>
                <w:kern w:val="0"/>
                <w:sz w:val="22"/>
                <w:szCs w:val="22"/>
                <w:u w:val="none"/>
                <w:lang w:val="en-US" w:eastAsia="zh-CN" w:bidi="ar"/>
              </w:rPr>
              <w:t>各类事故死亡人数下降率</w:t>
            </w:r>
          </w:p>
        </w:tc>
        <w:tc>
          <w:tcPr>
            <w:tcW w:w="708" w:type="dxa"/>
            <w:tcBorders>
              <w:tl2br w:val="nil"/>
              <w:tr2bl w:val="nil"/>
            </w:tcBorders>
            <w:noWrap/>
            <w:vAlign w:val="center"/>
          </w:tcPr>
          <w:p>
            <w:pPr>
              <w:keepNext w:val="0"/>
              <w:keepLines w:val="0"/>
              <w:widowControl/>
              <w:suppressLineNumbers w:val="0"/>
              <w:ind w:firstLine="220" w:firstLineChars="100"/>
              <w:jc w:val="left"/>
              <w:textAlignment w:val="center"/>
            </w:pPr>
            <w:r>
              <w:rPr>
                <w:rFonts w:hint="eastAsia" w:ascii="宋体" w:hAnsi="宋体" w:eastAsia="宋体" w:cs="宋体"/>
                <w:i w:val="0"/>
                <w:iCs w:val="0"/>
                <w:color w:val="000000"/>
                <w:kern w:val="0"/>
                <w:sz w:val="22"/>
                <w:szCs w:val="22"/>
                <w:u w:val="none"/>
                <w:lang w:val="en-US" w:eastAsia="zh-CN" w:bidi="ar"/>
              </w:rPr>
              <w:t>%</w:t>
            </w:r>
          </w:p>
        </w:tc>
        <w:tc>
          <w:tcPr>
            <w:tcW w:w="709" w:type="dxa"/>
            <w:tcBorders>
              <w:tl2br w:val="nil"/>
              <w:tr2bl w:val="nil"/>
            </w:tcBorders>
            <w:noWrap/>
            <w:vAlign w:val="center"/>
          </w:tcPr>
          <w:p>
            <w:pPr>
              <w:keepNext w:val="0"/>
              <w:keepLines w:val="0"/>
              <w:widowControl/>
              <w:suppressLineNumbers w:val="0"/>
              <w:ind w:firstLine="220" w:firstLineChars="100"/>
              <w:jc w:val="left"/>
              <w:textAlignment w:val="center"/>
            </w:pPr>
            <w:r>
              <w:rPr>
                <w:rFonts w:hint="eastAsia" w:ascii="宋体" w:hAnsi="宋体" w:eastAsia="宋体" w:cs="宋体"/>
                <w:i w:val="0"/>
                <w:iCs w:val="0"/>
                <w:color w:val="000000"/>
                <w:kern w:val="0"/>
                <w:sz w:val="22"/>
                <w:szCs w:val="22"/>
                <w:u w:val="none"/>
                <w:lang w:val="en-US" w:eastAsia="zh-CN" w:bidi="ar"/>
              </w:rPr>
              <w:t>≥</w:t>
            </w:r>
          </w:p>
        </w:tc>
        <w:tc>
          <w:tcPr>
            <w:tcW w:w="708" w:type="dxa"/>
            <w:gridSpan w:val="2"/>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15</w:t>
            </w:r>
          </w:p>
        </w:tc>
        <w:tc>
          <w:tcPr>
            <w:tcW w:w="857" w:type="dxa"/>
            <w:gridSpan w:val="2"/>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20</w:t>
            </w:r>
          </w:p>
        </w:tc>
        <w:tc>
          <w:tcPr>
            <w:tcW w:w="791" w:type="dxa"/>
            <w:tcBorders>
              <w:tl2br w:val="nil"/>
              <w:tr2bl w:val="nil"/>
            </w:tcBorders>
            <w:noWrap/>
            <w:vAlign w:val="center"/>
          </w:tcPr>
          <w:p>
            <w:pPr>
              <w:keepNext w:val="0"/>
              <w:keepLines w:val="0"/>
              <w:widowControl/>
              <w:suppressLineNumbers w:val="0"/>
              <w:jc w:val="both"/>
              <w:textAlignment w:val="center"/>
            </w:pPr>
            <w:r>
              <w:rPr>
                <w:rFonts w:hint="eastAsia" w:ascii="宋体" w:hAnsi="宋体" w:eastAsia="宋体" w:cs="宋体"/>
                <w:i w:val="0"/>
                <w:iCs w:val="0"/>
                <w:color w:val="000000"/>
                <w:kern w:val="0"/>
                <w:sz w:val="22"/>
                <w:szCs w:val="22"/>
                <w:u w:val="none"/>
                <w:lang w:val="en-US" w:eastAsia="zh-CN" w:bidi="ar"/>
              </w:rPr>
              <w:t>33.33</w:t>
            </w:r>
          </w:p>
        </w:tc>
        <w:tc>
          <w:tcPr>
            <w:tcW w:w="936" w:type="dxa"/>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100</w:t>
            </w:r>
          </w:p>
        </w:tc>
        <w:tc>
          <w:tcPr>
            <w:tcW w:w="912" w:type="dxa"/>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10</w:t>
            </w:r>
          </w:p>
        </w:tc>
        <w:tc>
          <w:tcPr>
            <w:tcW w:w="768" w:type="dxa"/>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10</w:t>
            </w:r>
          </w:p>
        </w:tc>
        <w:tc>
          <w:tcPr>
            <w:tcW w:w="2140" w:type="dxa"/>
            <w:tcBorders>
              <w:tl2br w:val="nil"/>
              <w:tr2bl w:val="nil"/>
            </w:tcBorders>
            <w:noWrap/>
            <w:vAlign w:val="center"/>
          </w:tcPr>
          <w:p>
            <w:pPr>
              <w:keepNext w:val="0"/>
              <w:keepLines w:val="0"/>
              <w:widowControl/>
              <w:suppressLineNumbers w:val="0"/>
              <w:jc w:val="left"/>
              <w:textAlignment w:val="center"/>
            </w:pPr>
            <w:r>
              <w:rPr>
                <w:rFonts w:hint="eastAsia" w:ascii="宋体" w:hAnsi="宋体" w:eastAsia="宋体" w:cs="宋体"/>
                <w:i w:val="0"/>
                <w:iCs w:val="0"/>
                <w:color w:val="000000"/>
                <w:kern w:val="0"/>
                <w:sz w:val="22"/>
                <w:szCs w:val="22"/>
                <w:u w:val="none"/>
                <w:lang w:val="en-US" w:eastAsia="zh-CN" w:bidi="ar"/>
              </w:rPr>
              <w:t>同比生产安全死亡人数减少3人，下降20%。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7" w:type="dxa"/>
            <w:vMerge w:val="continue"/>
            <w:tcBorders>
              <w:tl2br w:val="nil"/>
              <w:tr2bl w:val="nil"/>
            </w:tcBorders>
            <w:noWrap/>
            <w:vAlign w:val="center"/>
          </w:tcPr>
          <w:p/>
        </w:tc>
        <w:tc>
          <w:tcPr>
            <w:tcW w:w="756" w:type="dxa"/>
            <w:tcBorders>
              <w:tl2br w:val="nil"/>
              <w:tr2bl w:val="nil"/>
            </w:tcBorders>
            <w:noWrap/>
            <w:vAlign w:val="center"/>
          </w:tcPr>
          <w:p>
            <w:pPr>
              <w:keepNext w:val="0"/>
              <w:keepLines w:val="0"/>
              <w:widowControl/>
              <w:suppressLineNumbers w:val="0"/>
              <w:jc w:val="left"/>
              <w:textAlignment w:val="center"/>
            </w:pPr>
            <w:r>
              <w:rPr>
                <w:rFonts w:hint="eastAsia" w:ascii="宋体" w:hAnsi="宋体" w:eastAsia="宋体" w:cs="宋体"/>
                <w:i w:val="0"/>
                <w:iCs w:val="0"/>
                <w:color w:val="000000"/>
                <w:kern w:val="0"/>
                <w:sz w:val="22"/>
                <w:szCs w:val="22"/>
                <w:u w:val="none"/>
                <w:lang w:val="en-US" w:eastAsia="zh-CN" w:bidi="ar"/>
              </w:rPr>
              <w:t>临时困难救助人口数量</w:t>
            </w:r>
          </w:p>
        </w:tc>
        <w:tc>
          <w:tcPr>
            <w:tcW w:w="708" w:type="dxa"/>
            <w:tcBorders>
              <w:tl2br w:val="nil"/>
              <w:tr2bl w:val="nil"/>
            </w:tcBorders>
            <w:noWrap/>
            <w:vAlign w:val="center"/>
          </w:tcPr>
          <w:p>
            <w:pPr>
              <w:keepNext w:val="0"/>
              <w:keepLines w:val="0"/>
              <w:widowControl/>
              <w:suppressLineNumbers w:val="0"/>
              <w:ind w:firstLine="220" w:firstLineChars="100"/>
              <w:jc w:val="left"/>
              <w:textAlignment w:val="center"/>
            </w:pPr>
            <w:r>
              <w:rPr>
                <w:rFonts w:hint="eastAsia" w:ascii="宋体" w:hAnsi="宋体" w:eastAsia="宋体" w:cs="宋体"/>
                <w:i w:val="0"/>
                <w:iCs w:val="0"/>
                <w:color w:val="000000"/>
                <w:kern w:val="0"/>
                <w:sz w:val="22"/>
                <w:szCs w:val="22"/>
                <w:u w:val="none"/>
                <w:lang w:val="en-US" w:eastAsia="zh-CN" w:bidi="ar"/>
              </w:rPr>
              <w:t>人</w:t>
            </w:r>
          </w:p>
        </w:tc>
        <w:tc>
          <w:tcPr>
            <w:tcW w:w="709" w:type="dxa"/>
            <w:tcBorders>
              <w:tl2br w:val="nil"/>
              <w:tr2bl w:val="nil"/>
            </w:tcBorders>
            <w:noWrap/>
            <w:vAlign w:val="center"/>
          </w:tcPr>
          <w:p>
            <w:pPr>
              <w:keepNext w:val="0"/>
              <w:keepLines w:val="0"/>
              <w:widowControl/>
              <w:suppressLineNumbers w:val="0"/>
              <w:ind w:firstLine="220" w:firstLineChars="100"/>
              <w:jc w:val="left"/>
              <w:textAlignment w:val="center"/>
            </w:pPr>
            <w:r>
              <w:rPr>
                <w:rFonts w:hint="eastAsia" w:ascii="宋体" w:hAnsi="宋体" w:eastAsia="宋体" w:cs="宋体"/>
                <w:i w:val="0"/>
                <w:iCs w:val="0"/>
                <w:color w:val="000000"/>
                <w:kern w:val="0"/>
                <w:sz w:val="22"/>
                <w:szCs w:val="22"/>
                <w:u w:val="none"/>
                <w:lang w:val="en-US" w:eastAsia="zh-CN" w:bidi="ar"/>
              </w:rPr>
              <w:t>≥</w:t>
            </w:r>
          </w:p>
        </w:tc>
        <w:tc>
          <w:tcPr>
            <w:tcW w:w="708" w:type="dxa"/>
            <w:gridSpan w:val="2"/>
            <w:tcBorders>
              <w:tl2br w:val="nil"/>
              <w:tr2bl w:val="nil"/>
            </w:tcBorders>
            <w:noWrap/>
            <w:vAlign w:val="center"/>
          </w:tcPr>
          <w:p>
            <w:pPr>
              <w:keepNext w:val="0"/>
              <w:keepLines w:val="0"/>
              <w:widowControl/>
              <w:suppressLineNumbers w:val="0"/>
              <w:jc w:val="both"/>
              <w:textAlignment w:val="center"/>
            </w:pPr>
            <w:r>
              <w:rPr>
                <w:rFonts w:hint="eastAsia" w:ascii="宋体" w:hAnsi="宋体" w:eastAsia="宋体" w:cs="宋体"/>
                <w:i w:val="0"/>
                <w:iCs w:val="0"/>
                <w:color w:val="000000"/>
                <w:kern w:val="0"/>
                <w:sz w:val="22"/>
                <w:szCs w:val="22"/>
                <w:u w:val="none"/>
                <w:lang w:val="en-US" w:eastAsia="zh-CN" w:bidi="ar"/>
              </w:rPr>
              <w:t>2000</w:t>
            </w:r>
          </w:p>
        </w:tc>
        <w:tc>
          <w:tcPr>
            <w:tcW w:w="857" w:type="dxa"/>
            <w:gridSpan w:val="2"/>
            <w:tcBorders>
              <w:tl2br w:val="nil"/>
              <w:tr2bl w:val="nil"/>
            </w:tcBorders>
            <w:noWrap/>
            <w:vAlign w:val="center"/>
          </w:tcPr>
          <w:p>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2045</w:t>
            </w:r>
          </w:p>
        </w:tc>
        <w:tc>
          <w:tcPr>
            <w:tcW w:w="791" w:type="dxa"/>
            <w:tcBorders>
              <w:tl2br w:val="nil"/>
              <w:tr2bl w:val="nil"/>
            </w:tcBorders>
            <w:noWrap/>
            <w:vAlign w:val="center"/>
          </w:tcPr>
          <w:p>
            <w:pPr>
              <w:keepNext w:val="0"/>
              <w:keepLines w:val="0"/>
              <w:widowControl/>
              <w:suppressLineNumbers w:val="0"/>
              <w:jc w:val="both"/>
              <w:textAlignment w:val="center"/>
            </w:pPr>
            <w:r>
              <w:rPr>
                <w:rFonts w:hint="eastAsia" w:ascii="宋体" w:hAnsi="宋体" w:eastAsia="宋体" w:cs="宋体"/>
                <w:i w:val="0"/>
                <w:iCs w:val="0"/>
                <w:color w:val="000000"/>
                <w:kern w:val="0"/>
                <w:sz w:val="22"/>
                <w:szCs w:val="22"/>
                <w:u w:val="none"/>
                <w:lang w:val="en-US" w:eastAsia="zh-CN" w:bidi="ar"/>
              </w:rPr>
              <w:t>2.25</w:t>
            </w:r>
          </w:p>
        </w:tc>
        <w:tc>
          <w:tcPr>
            <w:tcW w:w="936" w:type="dxa"/>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100</w:t>
            </w:r>
          </w:p>
        </w:tc>
        <w:tc>
          <w:tcPr>
            <w:tcW w:w="912" w:type="dxa"/>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5</w:t>
            </w:r>
          </w:p>
        </w:tc>
        <w:tc>
          <w:tcPr>
            <w:tcW w:w="768" w:type="dxa"/>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5</w:t>
            </w:r>
          </w:p>
        </w:tc>
        <w:tc>
          <w:tcPr>
            <w:tcW w:w="2140" w:type="dxa"/>
            <w:tcBorders>
              <w:tl2br w:val="nil"/>
              <w:tr2bl w:val="nil"/>
            </w:tcBorders>
            <w:noWrap/>
            <w:vAlign w:val="center"/>
          </w:tcPr>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7" w:type="dxa"/>
            <w:vMerge w:val="continue"/>
            <w:tcBorders>
              <w:tl2br w:val="nil"/>
              <w:tr2bl w:val="nil"/>
            </w:tcBorders>
            <w:noWrap/>
            <w:vAlign w:val="center"/>
          </w:tcPr>
          <w:p/>
        </w:tc>
        <w:tc>
          <w:tcPr>
            <w:tcW w:w="756" w:type="dxa"/>
            <w:tcBorders>
              <w:tl2br w:val="nil"/>
              <w:tr2bl w:val="nil"/>
            </w:tcBorders>
            <w:noWrap/>
            <w:vAlign w:val="center"/>
          </w:tcPr>
          <w:p>
            <w:pPr>
              <w:keepNext w:val="0"/>
              <w:keepLines w:val="0"/>
              <w:widowControl/>
              <w:suppressLineNumbers w:val="0"/>
              <w:jc w:val="left"/>
              <w:textAlignment w:val="center"/>
            </w:pPr>
            <w:r>
              <w:rPr>
                <w:rFonts w:hint="eastAsia" w:ascii="宋体" w:hAnsi="宋体" w:eastAsia="宋体" w:cs="宋体"/>
                <w:i w:val="0"/>
                <w:iCs w:val="0"/>
                <w:color w:val="000000"/>
                <w:kern w:val="0"/>
                <w:sz w:val="22"/>
                <w:szCs w:val="22"/>
                <w:u w:val="none"/>
                <w:lang w:val="en-US" w:eastAsia="zh-CN" w:bidi="ar"/>
              </w:rPr>
              <w:t>服务对象满意度</w:t>
            </w:r>
          </w:p>
        </w:tc>
        <w:tc>
          <w:tcPr>
            <w:tcW w:w="708" w:type="dxa"/>
            <w:tcBorders>
              <w:tl2br w:val="nil"/>
              <w:tr2bl w:val="nil"/>
            </w:tcBorders>
            <w:noWrap/>
            <w:vAlign w:val="center"/>
          </w:tcPr>
          <w:p>
            <w:pPr>
              <w:keepNext w:val="0"/>
              <w:keepLines w:val="0"/>
              <w:widowControl/>
              <w:suppressLineNumbers w:val="0"/>
              <w:ind w:firstLine="220" w:firstLineChars="100"/>
              <w:jc w:val="left"/>
              <w:textAlignment w:val="center"/>
            </w:pPr>
            <w:r>
              <w:rPr>
                <w:rFonts w:hint="eastAsia" w:ascii="宋体" w:hAnsi="宋体" w:eastAsia="宋体" w:cs="宋体"/>
                <w:i w:val="0"/>
                <w:iCs w:val="0"/>
                <w:color w:val="000000"/>
                <w:kern w:val="0"/>
                <w:sz w:val="22"/>
                <w:szCs w:val="22"/>
                <w:u w:val="none"/>
                <w:lang w:val="en-US" w:eastAsia="zh-CN" w:bidi="ar"/>
              </w:rPr>
              <w:t>%</w:t>
            </w:r>
          </w:p>
        </w:tc>
        <w:tc>
          <w:tcPr>
            <w:tcW w:w="709" w:type="dxa"/>
            <w:tcBorders>
              <w:tl2br w:val="nil"/>
              <w:tr2bl w:val="nil"/>
            </w:tcBorders>
            <w:noWrap/>
            <w:vAlign w:val="center"/>
          </w:tcPr>
          <w:p>
            <w:pPr>
              <w:keepNext w:val="0"/>
              <w:keepLines w:val="0"/>
              <w:widowControl/>
              <w:suppressLineNumbers w:val="0"/>
              <w:ind w:firstLine="220" w:firstLineChars="100"/>
              <w:jc w:val="left"/>
              <w:textAlignment w:val="center"/>
            </w:pPr>
            <w:r>
              <w:rPr>
                <w:rFonts w:hint="eastAsia" w:ascii="宋体" w:hAnsi="宋体" w:eastAsia="宋体" w:cs="宋体"/>
                <w:i w:val="0"/>
                <w:iCs w:val="0"/>
                <w:color w:val="000000"/>
                <w:kern w:val="0"/>
                <w:sz w:val="22"/>
                <w:szCs w:val="22"/>
                <w:u w:val="none"/>
                <w:lang w:val="en-US" w:eastAsia="zh-CN" w:bidi="ar"/>
              </w:rPr>
              <w:t>≥</w:t>
            </w:r>
          </w:p>
        </w:tc>
        <w:tc>
          <w:tcPr>
            <w:tcW w:w="708" w:type="dxa"/>
            <w:gridSpan w:val="2"/>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95</w:t>
            </w:r>
          </w:p>
        </w:tc>
        <w:tc>
          <w:tcPr>
            <w:tcW w:w="857" w:type="dxa"/>
            <w:gridSpan w:val="2"/>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95</w:t>
            </w:r>
          </w:p>
        </w:tc>
        <w:tc>
          <w:tcPr>
            <w:tcW w:w="791" w:type="dxa"/>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0</w:t>
            </w:r>
          </w:p>
        </w:tc>
        <w:tc>
          <w:tcPr>
            <w:tcW w:w="936" w:type="dxa"/>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100</w:t>
            </w:r>
          </w:p>
        </w:tc>
        <w:tc>
          <w:tcPr>
            <w:tcW w:w="912" w:type="dxa"/>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10</w:t>
            </w:r>
          </w:p>
        </w:tc>
        <w:tc>
          <w:tcPr>
            <w:tcW w:w="768" w:type="dxa"/>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10</w:t>
            </w:r>
          </w:p>
        </w:tc>
        <w:tc>
          <w:tcPr>
            <w:tcW w:w="2140" w:type="dxa"/>
            <w:tcBorders>
              <w:tl2br w:val="nil"/>
              <w:tr2bl w:val="nil"/>
            </w:tcBorders>
            <w:noWrap/>
            <w:vAlign w:val="center"/>
          </w:tcPr>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7" w:type="dxa"/>
            <w:vMerge w:val="continue"/>
            <w:tcBorders>
              <w:tl2br w:val="nil"/>
              <w:tr2bl w:val="nil"/>
            </w:tcBorders>
            <w:noWrap/>
            <w:vAlign w:val="center"/>
          </w:tcPr>
          <w:p/>
        </w:tc>
        <w:tc>
          <w:tcPr>
            <w:tcW w:w="756" w:type="dxa"/>
            <w:tcBorders>
              <w:tl2br w:val="nil"/>
              <w:tr2bl w:val="nil"/>
            </w:tcBorders>
            <w:noWrap/>
            <w:vAlign w:val="center"/>
          </w:tcPr>
          <w:p>
            <w:pPr>
              <w:keepNext w:val="0"/>
              <w:keepLines w:val="0"/>
              <w:widowControl/>
              <w:suppressLineNumbers w:val="0"/>
              <w:jc w:val="left"/>
              <w:textAlignment w:val="center"/>
            </w:pPr>
            <w:r>
              <w:rPr>
                <w:rFonts w:hint="eastAsia" w:ascii="宋体" w:hAnsi="宋体" w:eastAsia="宋体" w:cs="宋体"/>
                <w:i w:val="0"/>
                <w:iCs w:val="0"/>
                <w:color w:val="000000"/>
                <w:kern w:val="0"/>
                <w:sz w:val="22"/>
                <w:szCs w:val="22"/>
                <w:u w:val="none"/>
                <w:lang w:val="en-US" w:eastAsia="zh-CN" w:bidi="ar"/>
              </w:rPr>
              <w:t>“三公”经费控制情况</w:t>
            </w:r>
          </w:p>
        </w:tc>
        <w:tc>
          <w:tcPr>
            <w:tcW w:w="708" w:type="dxa"/>
            <w:tcBorders>
              <w:tl2br w:val="nil"/>
              <w:tr2bl w:val="nil"/>
            </w:tcBorders>
            <w:noWrap/>
            <w:vAlign w:val="center"/>
          </w:tcPr>
          <w:p>
            <w:pPr>
              <w:keepNext w:val="0"/>
              <w:keepLines w:val="0"/>
              <w:widowControl/>
              <w:suppressLineNumbers w:val="0"/>
              <w:ind w:firstLine="220" w:firstLineChars="100"/>
              <w:jc w:val="left"/>
              <w:textAlignment w:val="center"/>
            </w:pPr>
            <w:r>
              <w:rPr>
                <w:rFonts w:hint="eastAsia" w:ascii="宋体" w:hAnsi="宋体" w:eastAsia="宋体" w:cs="宋体"/>
                <w:i w:val="0"/>
                <w:iCs w:val="0"/>
                <w:color w:val="000000"/>
                <w:kern w:val="0"/>
                <w:sz w:val="22"/>
                <w:szCs w:val="22"/>
                <w:u w:val="none"/>
                <w:lang w:val="en-US" w:eastAsia="zh-CN" w:bidi="ar"/>
              </w:rPr>
              <w:t>万元</w:t>
            </w:r>
          </w:p>
        </w:tc>
        <w:tc>
          <w:tcPr>
            <w:tcW w:w="709" w:type="dxa"/>
            <w:tcBorders>
              <w:tl2br w:val="nil"/>
              <w:tr2bl w:val="nil"/>
            </w:tcBorders>
            <w:noWrap/>
            <w:vAlign w:val="center"/>
          </w:tcPr>
          <w:p>
            <w:pPr>
              <w:keepNext w:val="0"/>
              <w:keepLines w:val="0"/>
              <w:widowControl/>
              <w:suppressLineNumbers w:val="0"/>
              <w:ind w:firstLine="220" w:firstLineChars="100"/>
              <w:jc w:val="left"/>
              <w:textAlignment w:val="center"/>
            </w:pPr>
            <w:r>
              <w:rPr>
                <w:rFonts w:hint="eastAsia" w:ascii="宋体" w:hAnsi="宋体" w:eastAsia="宋体" w:cs="宋体"/>
                <w:i w:val="0"/>
                <w:iCs w:val="0"/>
                <w:color w:val="000000"/>
                <w:kern w:val="0"/>
                <w:sz w:val="22"/>
                <w:szCs w:val="22"/>
                <w:u w:val="none"/>
                <w:lang w:val="en-US" w:eastAsia="zh-CN" w:bidi="ar"/>
              </w:rPr>
              <w:t>≤</w:t>
            </w:r>
          </w:p>
        </w:tc>
        <w:tc>
          <w:tcPr>
            <w:tcW w:w="708" w:type="dxa"/>
            <w:gridSpan w:val="2"/>
            <w:tcBorders>
              <w:tl2br w:val="nil"/>
              <w:tr2bl w:val="nil"/>
            </w:tcBorders>
            <w:noWrap/>
            <w:vAlign w:val="center"/>
          </w:tcPr>
          <w:p>
            <w:pPr>
              <w:keepNext w:val="0"/>
              <w:keepLines w:val="0"/>
              <w:widowControl/>
              <w:suppressLineNumbers w:val="0"/>
              <w:jc w:val="both"/>
              <w:textAlignment w:val="center"/>
            </w:pPr>
            <w:r>
              <w:rPr>
                <w:rFonts w:hint="eastAsia" w:ascii="宋体" w:hAnsi="宋体" w:eastAsia="宋体" w:cs="宋体"/>
                <w:i w:val="0"/>
                <w:iCs w:val="0"/>
                <w:color w:val="000000"/>
                <w:kern w:val="0"/>
                <w:sz w:val="22"/>
                <w:szCs w:val="22"/>
                <w:u w:val="none"/>
                <w:lang w:val="en-US" w:eastAsia="zh-CN" w:bidi="ar"/>
              </w:rPr>
              <w:t>21.5</w:t>
            </w:r>
          </w:p>
        </w:tc>
        <w:tc>
          <w:tcPr>
            <w:tcW w:w="857" w:type="dxa"/>
            <w:gridSpan w:val="2"/>
            <w:tcBorders>
              <w:tl2br w:val="nil"/>
              <w:tr2bl w:val="nil"/>
            </w:tcBorders>
            <w:noWrap/>
            <w:vAlign w:val="center"/>
          </w:tcPr>
          <w:p>
            <w:pPr>
              <w:keepNext w:val="0"/>
              <w:keepLines w:val="0"/>
              <w:widowControl/>
              <w:suppressLineNumbers w:val="0"/>
              <w:jc w:val="both"/>
              <w:textAlignment w:val="center"/>
            </w:pPr>
            <w:r>
              <w:rPr>
                <w:rFonts w:hint="eastAsia" w:ascii="宋体" w:hAnsi="宋体" w:eastAsia="宋体" w:cs="宋体"/>
                <w:i w:val="0"/>
                <w:iCs w:val="0"/>
                <w:color w:val="000000"/>
                <w:kern w:val="0"/>
                <w:sz w:val="22"/>
                <w:szCs w:val="22"/>
                <w:u w:val="none"/>
                <w:lang w:val="en-US" w:eastAsia="zh-CN" w:bidi="ar"/>
              </w:rPr>
              <w:t>19.01</w:t>
            </w:r>
          </w:p>
        </w:tc>
        <w:tc>
          <w:tcPr>
            <w:tcW w:w="791" w:type="dxa"/>
            <w:tcBorders>
              <w:tl2br w:val="nil"/>
              <w:tr2bl w:val="nil"/>
            </w:tcBorders>
            <w:noWrap/>
            <w:vAlign w:val="center"/>
          </w:tcPr>
          <w:p>
            <w:pPr>
              <w:keepNext w:val="0"/>
              <w:keepLines w:val="0"/>
              <w:widowControl/>
              <w:suppressLineNumbers w:val="0"/>
              <w:jc w:val="both"/>
              <w:textAlignment w:val="center"/>
            </w:pPr>
            <w:r>
              <w:rPr>
                <w:rFonts w:hint="eastAsia" w:ascii="宋体" w:hAnsi="宋体" w:eastAsia="宋体" w:cs="宋体"/>
                <w:i w:val="0"/>
                <w:iCs w:val="0"/>
                <w:color w:val="000000"/>
                <w:kern w:val="0"/>
                <w:sz w:val="22"/>
                <w:szCs w:val="22"/>
                <w:u w:val="none"/>
                <w:lang w:val="en-US" w:eastAsia="zh-CN" w:bidi="ar"/>
              </w:rPr>
              <w:t>11.58</w:t>
            </w:r>
          </w:p>
        </w:tc>
        <w:tc>
          <w:tcPr>
            <w:tcW w:w="936" w:type="dxa"/>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100</w:t>
            </w:r>
          </w:p>
        </w:tc>
        <w:tc>
          <w:tcPr>
            <w:tcW w:w="912" w:type="dxa"/>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5</w:t>
            </w:r>
          </w:p>
        </w:tc>
        <w:tc>
          <w:tcPr>
            <w:tcW w:w="768" w:type="dxa"/>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5</w:t>
            </w:r>
          </w:p>
        </w:tc>
        <w:tc>
          <w:tcPr>
            <w:tcW w:w="2140" w:type="dxa"/>
            <w:tcBorders>
              <w:tl2br w:val="nil"/>
              <w:tr2bl w:val="nil"/>
            </w:tcBorders>
            <w:noWrap/>
            <w:vAlign w:val="center"/>
          </w:tcPr>
          <w:p>
            <w:pPr>
              <w:keepNext w:val="0"/>
              <w:keepLines w:val="0"/>
              <w:widowControl/>
              <w:suppressLineNumbers w:val="0"/>
              <w:jc w:val="left"/>
              <w:textAlignment w:val="center"/>
            </w:pPr>
            <w:r>
              <w:rPr>
                <w:rFonts w:hint="eastAsia" w:ascii="宋体" w:hAnsi="宋体" w:eastAsia="宋体" w:cs="宋体"/>
                <w:i w:val="0"/>
                <w:iCs w:val="0"/>
                <w:color w:val="000000"/>
                <w:kern w:val="0"/>
                <w:sz w:val="22"/>
                <w:szCs w:val="22"/>
                <w:u w:val="none"/>
                <w:lang w:val="en-US" w:eastAsia="zh-CN" w:bidi="ar"/>
              </w:rPr>
              <w:t>响应区委区政府“过紧日子苦日子”号召，节约餐标，“三公”经费下降。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7" w:type="dxa"/>
            <w:vMerge w:val="continue"/>
            <w:tcBorders>
              <w:tl2br w:val="nil"/>
              <w:tr2bl w:val="nil"/>
            </w:tcBorders>
            <w:noWrap/>
            <w:vAlign w:val="center"/>
          </w:tcPr>
          <w:p/>
        </w:tc>
        <w:tc>
          <w:tcPr>
            <w:tcW w:w="756" w:type="dxa"/>
            <w:tcBorders>
              <w:tl2br w:val="nil"/>
              <w:tr2bl w:val="nil"/>
            </w:tcBorders>
            <w:noWrap/>
            <w:vAlign w:val="center"/>
          </w:tcPr>
          <w:p>
            <w:pPr>
              <w:keepNext w:val="0"/>
              <w:keepLines w:val="0"/>
              <w:widowControl/>
              <w:suppressLineNumbers w:val="0"/>
              <w:jc w:val="left"/>
              <w:textAlignment w:val="center"/>
            </w:pPr>
            <w:r>
              <w:rPr>
                <w:rFonts w:hint="eastAsia" w:ascii="宋体" w:hAnsi="宋体" w:eastAsia="宋体" w:cs="宋体"/>
                <w:i w:val="0"/>
                <w:iCs w:val="0"/>
                <w:color w:val="000000"/>
                <w:kern w:val="0"/>
                <w:sz w:val="22"/>
                <w:szCs w:val="22"/>
                <w:u w:val="none"/>
                <w:lang w:val="en-US" w:eastAsia="zh-CN" w:bidi="ar"/>
              </w:rPr>
              <w:t>采用保障金方式的财政采购占比情况</w:t>
            </w:r>
          </w:p>
        </w:tc>
        <w:tc>
          <w:tcPr>
            <w:tcW w:w="708" w:type="dxa"/>
            <w:tcBorders>
              <w:tl2br w:val="nil"/>
              <w:tr2bl w:val="nil"/>
            </w:tcBorders>
            <w:noWrap/>
            <w:vAlign w:val="center"/>
          </w:tcPr>
          <w:p>
            <w:pPr>
              <w:jc w:val="left"/>
            </w:pPr>
          </w:p>
        </w:tc>
        <w:tc>
          <w:tcPr>
            <w:tcW w:w="709" w:type="dxa"/>
            <w:tcBorders>
              <w:tl2br w:val="nil"/>
              <w:tr2bl w:val="nil"/>
            </w:tcBorders>
            <w:noWrap/>
            <w:vAlign w:val="center"/>
          </w:tcPr>
          <w:p>
            <w:pPr>
              <w:keepNext w:val="0"/>
              <w:keepLines w:val="0"/>
              <w:widowControl/>
              <w:suppressLineNumbers w:val="0"/>
              <w:jc w:val="left"/>
              <w:textAlignment w:val="center"/>
            </w:pPr>
            <w:r>
              <w:rPr>
                <w:rFonts w:hint="eastAsia" w:ascii="宋体" w:hAnsi="宋体" w:eastAsia="宋体" w:cs="宋体"/>
                <w:i w:val="0"/>
                <w:iCs w:val="0"/>
                <w:color w:val="000000"/>
                <w:kern w:val="0"/>
                <w:sz w:val="22"/>
                <w:szCs w:val="22"/>
                <w:u w:val="none"/>
                <w:lang w:val="en-US" w:eastAsia="zh-CN" w:bidi="ar"/>
              </w:rPr>
              <w:t>定性</w:t>
            </w:r>
          </w:p>
        </w:tc>
        <w:tc>
          <w:tcPr>
            <w:tcW w:w="708" w:type="dxa"/>
            <w:gridSpan w:val="2"/>
            <w:tcBorders>
              <w:tl2br w:val="nil"/>
              <w:tr2bl w:val="nil"/>
            </w:tcBorders>
            <w:noWrap/>
            <w:vAlign w:val="center"/>
          </w:tcPr>
          <w:p>
            <w:pPr>
              <w:keepNext w:val="0"/>
              <w:keepLines w:val="0"/>
              <w:widowControl/>
              <w:suppressLineNumbers w:val="0"/>
              <w:jc w:val="both"/>
              <w:textAlignment w:val="center"/>
            </w:pPr>
            <w:r>
              <w:rPr>
                <w:rFonts w:hint="eastAsia" w:ascii="宋体" w:hAnsi="宋体" w:eastAsia="宋体" w:cs="宋体"/>
                <w:i w:val="0"/>
                <w:iCs w:val="0"/>
                <w:color w:val="000000"/>
                <w:kern w:val="0"/>
                <w:sz w:val="22"/>
                <w:szCs w:val="22"/>
                <w:u w:val="none"/>
                <w:lang w:val="en-US" w:eastAsia="zh-CN" w:bidi="ar"/>
              </w:rPr>
              <w:t>无保障金</w:t>
            </w:r>
            <w:r>
              <w:rPr>
                <w:rFonts w:hint="eastAsia" w:ascii="宋体" w:hAnsi="宋体" w:cs="宋体"/>
                <w:i w:val="0"/>
                <w:iCs w:val="0"/>
                <w:color w:val="000000"/>
                <w:kern w:val="0"/>
                <w:sz w:val="22"/>
                <w:szCs w:val="22"/>
                <w:u w:val="none"/>
                <w:lang w:val="en-US" w:eastAsia="zh-CN" w:bidi="ar"/>
              </w:rPr>
              <w:t>采购</w:t>
            </w:r>
          </w:p>
        </w:tc>
        <w:tc>
          <w:tcPr>
            <w:tcW w:w="857" w:type="dxa"/>
            <w:gridSpan w:val="2"/>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4</w:t>
            </w:r>
          </w:p>
        </w:tc>
        <w:tc>
          <w:tcPr>
            <w:tcW w:w="791" w:type="dxa"/>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100</w:t>
            </w:r>
          </w:p>
        </w:tc>
        <w:tc>
          <w:tcPr>
            <w:tcW w:w="936" w:type="dxa"/>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0</w:t>
            </w:r>
          </w:p>
        </w:tc>
        <w:tc>
          <w:tcPr>
            <w:tcW w:w="912" w:type="dxa"/>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5</w:t>
            </w:r>
          </w:p>
        </w:tc>
        <w:tc>
          <w:tcPr>
            <w:tcW w:w="768" w:type="dxa"/>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0</w:t>
            </w:r>
          </w:p>
        </w:tc>
        <w:tc>
          <w:tcPr>
            <w:tcW w:w="2140" w:type="dxa"/>
            <w:tcBorders>
              <w:tl2br w:val="nil"/>
              <w:tr2bl w:val="nil"/>
            </w:tcBorders>
            <w:noWrap/>
            <w:vAlign w:val="center"/>
          </w:tcPr>
          <w:p>
            <w:pPr>
              <w:keepNext w:val="0"/>
              <w:keepLines w:val="0"/>
              <w:widowControl/>
              <w:suppressLineNumbers w:val="0"/>
              <w:jc w:val="left"/>
              <w:textAlignment w:val="center"/>
            </w:pPr>
            <w:r>
              <w:rPr>
                <w:rFonts w:hint="eastAsia" w:ascii="宋体" w:hAnsi="宋体" w:eastAsia="宋体" w:cs="宋体"/>
                <w:i w:val="0"/>
                <w:iCs w:val="0"/>
                <w:color w:val="000000"/>
                <w:kern w:val="0"/>
                <w:sz w:val="22"/>
                <w:szCs w:val="22"/>
                <w:u w:val="none"/>
                <w:lang w:val="en-US" w:eastAsia="zh-CN" w:bidi="ar"/>
              </w:rPr>
              <w:t>自储自用柴油软件开发属江津区政府“重庆数字建设柴油一件事”，为保障项目进度，年底专立一个项目指标做了采购计划，导致保障金份额变大。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7" w:type="dxa"/>
            <w:vMerge w:val="continue"/>
            <w:tcBorders>
              <w:tl2br w:val="nil"/>
              <w:tr2bl w:val="nil"/>
            </w:tcBorders>
            <w:noWrap/>
            <w:vAlign w:val="center"/>
          </w:tcPr>
          <w:p/>
        </w:tc>
        <w:tc>
          <w:tcPr>
            <w:tcW w:w="756" w:type="dxa"/>
            <w:tcBorders>
              <w:tl2br w:val="nil"/>
              <w:tr2bl w:val="nil"/>
            </w:tcBorders>
            <w:noWrap/>
            <w:vAlign w:val="center"/>
          </w:tcPr>
          <w:p>
            <w:pPr>
              <w:keepNext w:val="0"/>
              <w:keepLines w:val="0"/>
              <w:widowControl/>
              <w:suppressLineNumbers w:val="0"/>
              <w:jc w:val="left"/>
              <w:textAlignment w:val="center"/>
            </w:pPr>
            <w:r>
              <w:rPr>
                <w:rFonts w:hint="eastAsia" w:ascii="宋体" w:hAnsi="宋体" w:eastAsia="宋体" w:cs="宋体"/>
                <w:i w:val="0"/>
                <w:iCs w:val="0"/>
                <w:color w:val="000000"/>
                <w:kern w:val="0"/>
                <w:sz w:val="22"/>
                <w:szCs w:val="22"/>
                <w:u w:val="none"/>
                <w:lang w:val="en-US" w:eastAsia="zh-CN" w:bidi="ar"/>
              </w:rPr>
              <w:t>聘用人员控制情况</w:t>
            </w:r>
          </w:p>
        </w:tc>
        <w:tc>
          <w:tcPr>
            <w:tcW w:w="708" w:type="dxa"/>
            <w:tcBorders>
              <w:tl2br w:val="nil"/>
              <w:tr2bl w:val="nil"/>
            </w:tcBorders>
            <w:noWrap/>
            <w:vAlign w:val="center"/>
          </w:tcPr>
          <w:p>
            <w:pPr>
              <w:keepNext w:val="0"/>
              <w:keepLines w:val="0"/>
              <w:widowControl/>
              <w:suppressLineNumbers w:val="0"/>
              <w:ind w:firstLine="220" w:firstLineChars="100"/>
              <w:jc w:val="left"/>
              <w:textAlignment w:val="center"/>
            </w:pPr>
            <w:r>
              <w:rPr>
                <w:rFonts w:hint="eastAsia" w:ascii="宋体" w:hAnsi="宋体" w:eastAsia="宋体" w:cs="宋体"/>
                <w:i w:val="0"/>
                <w:iCs w:val="0"/>
                <w:color w:val="000000"/>
                <w:kern w:val="0"/>
                <w:sz w:val="22"/>
                <w:szCs w:val="22"/>
                <w:u w:val="none"/>
                <w:lang w:val="en-US" w:eastAsia="zh-CN" w:bidi="ar"/>
              </w:rPr>
              <w:t>人</w:t>
            </w:r>
          </w:p>
        </w:tc>
        <w:tc>
          <w:tcPr>
            <w:tcW w:w="709" w:type="dxa"/>
            <w:tcBorders>
              <w:tl2br w:val="nil"/>
              <w:tr2bl w:val="nil"/>
            </w:tcBorders>
            <w:noWrap/>
            <w:vAlign w:val="center"/>
          </w:tcPr>
          <w:p>
            <w:pPr>
              <w:keepNext w:val="0"/>
              <w:keepLines w:val="0"/>
              <w:widowControl/>
              <w:suppressLineNumbers w:val="0"/>
              <w:ind w:firstLine="220" w:firstLineChars="100"/>
              <w:jc w:val="left"/>
              <w:textAlignment w:val="center"/>
            </w:pPr>
            <w:r>
              <w:rPr>
                <w:rFonts w:hint="eastAsia" w:ascii="宋体" w:hAnsi="宋体" w:eastAsia="宋体" w:cs="宋体"/>
                <w:i w:val="0"/>
                <w:iCs w:val="0"/>
                <w:color w:val="000000"/>
                <w:kern w:val="0"/>
                <w:sz w:val="22"/>
                <w:szCs w:val="22"/>
                <w:u w:val="none"/>
                <w:lang w:val="en-US" w:eastAsia="zh-CN" w:bidi="ar"/>
              </w:rPr>
              <w:t>≤</w:t>
            </w:r>
          </w:p>
        </w:tc>
        <w:tc>
          <w:tcPr>
            <w:tcW w:w="708" w:type="dxa"/>
            <w:gridSpan w:val="2"/>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54</w:t>
            </w:r>
          </w:p>
        </w:tc>
        <w:tc>
          <w:tcPr>
            <w:tcW w:w="857" w:type="dxa"/>
            <w:gridSpan w:val="2"/>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46</w:t>
            </w:r>
          </w:p>
        </w:tc>
        <w:tc>
          <w:tcPr>
            <w:tcW w:w="791" w:type="dxa"/>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14.81</w:t>
            </w:r>
          </w:p>
        </w:tc>
        <w:tc>
          <w:tcPr>
            <w:tcW w:w="936" w:type="dxa"/>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100</w:t>
            </w:r>
          </w:p>
        </w:tc>
        <w:tc>
          <w:tcPr>
            <w:tcW w:w="912" w:type="dxa"/>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10</w:t>
            </w:r>
          </w:p>
        </w:tc>
        <w:tc>
          <w:tcPr>
            <w:tcW w:w="768" w:type="dxa"/>
            <w:tcBorders>
              <w:tl2br w:val="nil"/>
              <w:tr2bl w:val="nil"/>
            </w:tcBorders>
            <w:noWrap/>
            <w:vAlign w:val="center"/>
          </w:tcPr>
          <w:p>
            <w:pPr>
              <w:keepNext w:val="0"/>
              <w:keepLines w:val="0"/>
              <w:widowControl/>
              <w:suppressLineNumbers w:val="0"/>
              <w:ind w:firstLine="220" w:firstLineChars="100"/>
              <w:jc w:val="right"/>
              <w:textAlignment w:val="center"/>
            </w:pPr>
            <w:r>
              <w:rPr>
                <w:rFonts w:hint="eastAsia" w:ascii="宋体" w:hAnsi="宋体" w:eastAsia="宋体" w:cs="宋体"/>
                <w:i w:val="0"/>
                <w:iCs w:val="0"/>
                <w:color w:val="000000"/>
                <w:kern w:val="0"/>
                <w:sz w:val="22"/>
                <w:szCs w:val="22"/>
                <w:u w:val="none"/>
                <w:lang w:val="en-US" w:eastAsia="zh-CN" w:bidi="ar"/>
              </w:rPr>
              <w:t>10</w:t>
            </w:r>
          </w:p>
        </w:tc>
        <w:tc>
          <w:tcPr>
            <w:tcW w:w="2140" w:type="dxa"/>
            <w:tcBorders>
              <w:tl2br w:val="nil"/>
              <w:tr2bl w:val="nil"/>
            </w:tcBorders>
            <w:noWrap/>
            <w:vAlign w:val="center"/>
          </w:tcPr>
          <w:p>
            <w:pPr>
              <w:keepNext w:val="0"/>
              <w:keepLines w:val="0"/>
              <w:widowControl/>
              <w:suppressLineNumbers w:val="0"/>
              <w:jc w:val="left"/>
              <w:textAlignment w:val="center"/>
            </w:pPr>
            <w:r>
              <w:rPr>
                <w:rFonts w:hint="eastAsia" w:ascii="宋体" w:hAnsi="宋体" w:eastAsia="宋体" w:cs="宋体"/>
                <w:i w:val="0"/>
                <w:iCs w:val="0"/>
                <w:color w:val="000000"/>
                <w:kern w:val="0"/>
                <w:sz w:val="22"/>
                <w:szCs w:val="22"/>
                <w:u w:val="none"/>
                <w:lang w:val="en-US" w:eastAsia="zh-CN" w:bidi="ar"/>
              </w:rPr>
              <w:t>年末聘用人员在岗数量控制在财政局确定的范围内。</w:t>
            </w:r>
          </w:p>
        </w:tc>
      </w:tr>
    </w:tbl>
    <w:p>
      <w:pPr>
        <w:pStyle w:val="9"/>
        <w:tabs>
          <w:tab w:val="center" w:pos="4153"/>
          <w:tab w:val="left" w:pos="7275"/>
        </w:tabs>
        <w:spacing w:line="579" w:lineRule="exact"/>
        <w:ind w:firstLine="0" w:firstLineChars="0"/>
        <w:rPr>
          <w:rFonts w:ascii="宋体" w:hAnsi="宋体" w:eastAsia="方正仿宋_GBK" w:cs="方正仿宋_GBK"/>
          <w:color w:val="000000"/>
          <w:kern w:val="0"/>
          <w:sz w:val="36"/>
          <w:szCs w:val="36"/>
        </w:rPr>
      </w:pPr>
    </w:p>
    <w:p>
      <w:pPr>
        <w:pStyle w:val="9"/>
        <w:tabs>
          <w:tab w:val="center" w:pos="4153"/>
          <w:tab w:val="left" w:pos="7275"/>
        </w:tabs>
        <w:spacing w:line="579" w:lineRule="exact"/>
        <w:ind w:firstLine="0" w:firstLineChars="0"/>
        <w:jc w:val="center"/>
        <w:rPr>
          <w:rFonts w:ascii="方正黑体_GBK" w:eastAsia="方正黑体_GBK" w:cs="方正黑体_GBK"/>
          <w:color w:val="000000"/>
          <w:kern w:val="0"/>
          <w:sz w:val="36"/>
          <w:szCs w:val="36"/>
        </w:rPr>
      </w:pPr>
      <w:r>
        <w:rPr>
          <w:rFonts w:hint="eastAsia" w:ascii="方正黑体_GBK" w:eastAsia="方正黑体_GBK" w:cs="方正黑体_GBK"/>
          <w:color w:val="000000"/>
          <w:kern w:val="0"/>
          <w:sz w:val="36"/>
          <w:szCs w:val="36"/>
        </w:rPr>
        <w:t>2024年度二级项目绩效自评表</w:t>
      </w:r>
    </w:p>
    <w:tbl>
      <w:tblPr>
        <w:tblStyle w:val="6"/>
        <w:tblW w:w="101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1463"/>
        <w:gridCol w:w="224"/>
        <w:gridCol w:w="850"/>
        <w:gridCol w:w="830"/>
        <w:gridCol w:w="619"/>
        <w:gridCol w:w="203"/>
        <w:gridCol w:w="857"/>
        <w:gridCol w:w="840"/>
        <w:gridCol w:w="839"/>
        <w:gridCol w:w="419"/>
        <w:gridCol w:w="420"/>
        <w:gridCol w:w="629"/>
        <w:gridCol w:w="390"/>
        <w:gridCol w:w="6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6" w:type="dxa"/>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项目</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名称</w:t>
            </w:r>
          </w:p>
        </w:tc>
        <w:tc>
          <w:tcPr>
            <w:tcW w:w="3986" w:type="dxa"/>
            <w:gridSpan w:val="5"/>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应急救援经费</w:t>
            </w:r>
          </w:p>
        </w:tc>
        <w:tc>
          <w:tcPr>
            <w:tcW w:w="1060"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自评</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总分</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（分）</w:t>
            </w:r>
          </w:p>
        </w:tc>
        <w:tc>
          <w:tcPr>
            <w:tcW w:w="4232" w:type="dxa"/>
            <w:gridSpan w:val="7"/>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98.75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9" w:hRule="atLeast"/>
          <w:jc w:val="center"/>
        </w:trPr>
        <w:tc>
          <w:tcPr>
            <w:tcW w:w="846" w:type="dxa"/>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项目主管</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部门</w:t>
            </w:r>
          </w:p>
        </w:tc>
        <w:tc>
          <w:tcPr>
            <w:tcW w:w="1463" w:type="dxa"/>
            <w:noWrap/>
            <w:vAlign w:val="center"/>
          </w:tcPr>
          <w:p>
            <w:pPr>
              <w:widowControl/>
              <w:snapToGrid w:val="0"/>
              <w:jc w:val="center"/>
              <w:rPr>
                <w:rFonts w:ascii="宋体" w:hAnsi="宋体" w:eastAsia="方正仿宋_GBK" w:cs="方正仿宋_GBK"/>
                <w:color w:val="000000"/>
                <w:kern w:val="0"/>
                <w:sz w:val="24"/>
                <w:szCs w:val="24"/>
              </w:rPr>
            </w:pPr>
            <w:r>
              <w:rPr>
                <w:rFonts w:ascii="宋体" w:hAnsi="宋体" w:eastAsia="方正仿宋_GBK" w:cs="方正仿宋_GBK"/>
                <w:color w:val="000000"/>
                <w:kern w:val="0"/>
                <w:sz w:val="24"/>
                <w:szCs w:val="24"/>
              </w:rPr>
              <w:t>603-重庆市江津区应急管理局</w:t>
            </w:r>
          </w:p>
        </w:tc>
        <w:tc>
          <w:tcPr>
            <w:tcW w:w="1074"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财政归口科室</w:t>
            </w:r>
          </w:p>
        </w:tc>
        <w:tc>
          <w:tcPr>
            <w:tcW w:w="1449"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ascii="宋体" w:hAnsi="宋体" w:eastAsia="方正仿宋_GBK" w:cs="方正仿宋_GBK"/>
                <w:color w:val="000000"/>
                <w:kern w:val="0"/>
                <w:sz w:val="24"/>
                <w:szCs w:val="24"/>
              </w:rPr>
              <w:t>006-产业发展科</w:t>
            </w:r>
          </w:p>
        </w:tc>
        <w:tc>
          <w:tcPr>
            <w:tcW w:w="1060"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项目</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联系人</w:t>
            </w:r>
          </w:p>
        </w:tc>
        <w:tc>
          <w:tcPr>
            <w:tcW w:w="840" w:type="dxa"/>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韩军斌</w:t>
            </w:r>
          </w:p>
        </w:tc>
        <w:tc>
          <w:tcPr>
            <w:tcW w:w="1258"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联系电话</w:t>
            </w:r>
          </w:p>
        </w:tc>
        <w:tc>
          <w:tcPr>
            <w:tcW w:w="2134" w:type="dxa"/>
            <w:gridSpan w:val="4"/>
            <w:noWrap/>
            <w:vAlign w:val="center"/>
          </w:tcPr>
          <w:p>
            <w:pPr>
              <w:widowControl/>
              <w:snapToGrid w:val="0"/>
              <w:jc w:val="center"/>
              <w:rPr>
                <w:rFonts w:ascii="宋体" w:hAnsi="宋体" w:eastAsia="方正仿宋_GBK" w:cs="方正仿宋_GBK"/>
                <w:color w:val="000000"/>
                <w:kern w:val="0"/>
                <w:sz w:val="24"/>
                <w:szCs w:val="24"/>
              </w:rPr>
            </w:pPr>
            <w:r>
              <w:rPr>
                <w:rFonts w:ascii="宋体" w:hAnsi="宋体" w:eastAsia="方正仿宋_GBK" w:cs="方正仿宋_GBK"/>
                <w:color w:val="000000"/>
                <w:kern w:val="0"/>
                <w:sz w:val="24"/>
                <w:szCs w:val="24"/>
              </w:rPr>
              <w:t>15823999978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846" w:type="dxa"/>
            <w:vMerge w:val="restart"/>
            <w:noWrap/>
            <w:textDirection w:val="tbRlV"/>
            <w:vAlign w:val="center"/>
          </w:tcPr>
          <w:p>
            <w:pPr>
              <w:widowControl/>
              <w:snapToGrid w:val="0"/>
              <w:ind w:left="113" w:right="113"/>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项目资金（万元）</w:t>
            </w:r>
          </w:p>
        </w:tc>
        <w:tc>
          <w:tcPr>
            <w:tcW w:w="1463" w:type="dxa"/>
            <w:vMerge w:val="restart"/>
            <w:noWrap/>
            <w:vAlign w:val="center"/>
          </w:tcPr>
          <w:p>
            <w:pPr>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年度总金额</w:t>
            </w:r>
          </w:p>
        </w:tc>
        <w:tc>
          <w:tcPr>
            <w:tcW w:w="1074"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年初</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预算数</w:t>
            </w:r>
          </w:p>
        </w:tc>
        <w:tc>
          <w:tcPr>
            <w:tcW w:w="1449"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全年（调整）预算数</w:t>
            </w:r>
          </w:p>
        </w:tc>
        <w:tc>
          <w:tcPr>
            <w:tcW w:w="1900" w:type="dxa"/>
            <w:gridSpan w:val="3"/>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全年执行数</w:t>
            </w:r>
          </w:p>
        </w:tc>
        <w:tc>
          <w:tcPr>
            <w:tcW w:w="1258"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执行率</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w:t>
            </w:r>
          </w:p>
        </w:tc>
        <w:tc>
          <w:tcPr>
            <w:tcW w:w="1049"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执行率</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权重</w:t>
            </w:r>
          </w:p>
        </w:tc>
        <w:tc>
          <w:tcPr>
            <w:tcW w:w="1085"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执行率</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得分</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846" w:type="dxa"/>
            <w:vMerge w:val="continue"/>
            <w:noWrap/>
            <w:vAlign w:val="center"/>
          </w:tcPr>
          <w:p/>
        </w:tc>
        <w:tc>
          <w:tcPr>
            <w:tcW w:w="1463" w:type="dxa"/>
            <w:vMerge w:val="continue"/>
            <w:noWrap/>
            <w:vAlign w:val="center"/>
          </w:tcPr>
          <w:p/>
        </w:tc>
        <w:tc>
          <w:tcPr>
            <w:tcW w:w="1074"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28.55</w:t>
            </w:r>
          </w:p>
        </w:tc>
        <w:tc>
          <w:tcPr>
            <w:tcW w:w="1449"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27.73</w:t>
            </w:r>
          </w:p>
        </w:tc>
        <w:tc>
          <w:tcPr>
            <w:tcW w:w="1900" w:type="dxa"/>
            <w:gridSpan w:val="3"/>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27.73</w:t>
            </w:r>
          </w:p>
        </w:tc>
        <w:tc>
          <w:tcPr>
            <w:tcW w:w="1258"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ascii="宋体" w:hAnsi="宋体" w:eastAsia="方正仿宋_GBK" w:cs="方正仿宋_GBK"/>
                <w:color w:val="000000"/>
                <w:kern w:val="0"/>
                <w:sz w:val="24"/>
                <w:szCs w:val="24"/>
              </w:rPr>
              <w:t>100</w:t>
            </w:r>
          </w:p>
        </w:tc>
        <w:tc>
          <w:tcPr>
            <w:tcW w:w="1049" w:type="dxa"/>
            <w:gridSpan w:val="2"/>
            <w:noWrap/>
            <w:vAlign w:val="center"/>
          </w:tcPr>
          <w:p>
            <w:pPr>
              <w:widowControl/>
              <w:snapToGrid w:val="0"/>
              <w:jc w:val="center"/>
              <w:rPr>
                <w:rFonts w:ascii="宋体" w:hAnsi="宋体" w:eastAsia="方正仿宋_GBK" w:cs="方正仿宋_GBK"/>
                <w:kern w:val="0"/>
                <w:sz w:val="24"/>
                <w:szCs w:val="24"/>
              </w:rPr>
            </w:pPr>
            <w:r>
              <w:rPr>
                <w:rFonts w:ascii="宋体" w:hAnsi="宋体" w:eastAsia="方正仿宋_GBK" w:cs="方正仿宋_GBK"/>
                <w:kern w:val="0"/>
                <w:sz w:val="24"/>
                <w:szCs w:val="24"/>
              </w:rPr>
              <w:t>10</w:t>
            </w:r>
          </w:p>
        </w:tc>
        <w:tc>
          <w:tcPr>
            <w:tcW w:w="1085"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ascii="宋体" w:hAnsi="宋体" w:eastAsia="方正仿宋_GBK" w:cs="方正仿宋_GBK"/>
                <w:color w:val="000000"/>
                <w:kern w:val="0"/>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846" w:type="dxa"/>
            <w:vMerge w:val="continue"/>
            <w:noWrap/>
            <w:vAlign w:val="center"/>
          </w:tcPr>
          <w:p/>
        </w:tc>
        <w:tc>
          <w:tcPr>
            <w:tcW w:w="1463" w:type="dxa"/>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其中：</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财政拨款</w:t>
            </w:r>
          </w:p>
        </w:tc>
        <w:tc>
          <w:tcPr>
            <w:tcW w:w="1074"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28.55</w:t>
            </w:r>
          </w:p>
        </w:tc>
        <w:tc>
          <w:tcPr>
            <w:tcW w:w="1449"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27.73</w:t>
            </w:r>
          </w:p>
        </w:tc>
        <w:tc>
          <w:tcPr>
            <w:tcW w:w="1900" w:type="dxa"/>
            <w:gridSpan w:val="3"/>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27.73</w:t>
            </w:r>
          </w:p>
        </w:tc>
        <w:tc>
          <w:tcPr>
            <w:tcW w:w="1258"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ascii="宋体" w:hAnsi="宋体" w:eastAsia="方正仿宋_GBK" w:cs="方正仿宋_GBK"/>
                <w:color w:val="000000"/>
                <w:kern w:val="0"/>
                <w:sz w:val="24"/>
                <w:szCs w:val="24"/>
              </w:rPr>
              <w:t>100</w:t>
            </w:r>
          </w:p>
        </w:tc>
        <w:tc>
          <w:tcPr>
            <w:tcW w:w="1049" w:type="dxa"/>
            <w:gridSpan w:val="2"/>
            <w:noWrap/>
            <w:vAlign w:val="center"/>
          </w:tcPr>
          <w:p>
            <w:pPr>
              <w:widowControl/>
              <w:snapToGrid w:val="0"/>
              <w:jc w:val="center"/>
              <w:rPr>
                <w:rFonts w:ascii="宋体" w:hAnsi="宋体" w:eastAsia="方正仿宋_GBK" w:cs="方正仿宋_GBK"/>
                <w:kern w:val="0"/>
                <w:sz w:val="24"/>
                <w:szCs w:val="24"/>
              </w:rPr>
            </w:pPr>
            <w:r>
              <w:rPr>
                <w:rFonts w:ascii="宋体" w:hAnsi="宋体" w:eastAsia="方正仿宋_GBK" w:cs="方正仿宋_GBK"/>
                <w:kern w:val="0"/>
                <w:sz w:val="24"/>
                <w:szCs w:val="24"/>
              </w:rPr>
              <w:t>10</w:t>
            </w:r>
          </w:p>
        </w:tc>
        <w:tc>
          <w:tcPr>
            <w:tcW w:w="1085"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ascii="宋体" w:hAnsi="宋体" w:eastAsia="方正仿宋_GBK" w:cs="方正仿宋_GBK"/>
                <w:color w:val="000000"/>
                <w:kern w:val="0"/>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846" w:type="dxa"/>
            <w:vMerge w:val="restart"/>
            <w:noWrap/>
            <w:vAlign w:val="center"/>
          </w:tcPr>
          <w:p>
            <w:pPr>
              <w:widowControl/>
              <w:snapToGrid w:val="0"/>
              <w:jc w:val="center"/>
              <w:rPr>
                <w:rFonts w:ascii="宋体" w:hAnsi="宋体"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当年绩效目标</w:t>
            </w:r>
          </w:p>
        </w:tc>
        <w:tc>
          <w:tcPr>
            <w:tcW w:w="3367" w:type="dxa"/>
            <w:gridSpan w:val="4"/>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年初绩效目标</w:t>
            </w:r>
          </w:p>
        </w:tc>
        <w:tc>
          <w:tcPr>
            <w:tcW w:w="2519" w:type="dxa"/>
            <w:gridSpan w:val="4"/>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全年（调整）绩效目标</w:t>
            </w:r>
          </w:p>
        </w:tc>
        <w:tc>
          <w:tcPr>
            <w:tcW w:w="3392" w:type="dxa"/>
            <w:gridSpan w:val="6"/>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全年目标实际完成情况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5" w:hRule="atLeast"/>
          <w:jc w:val="center"/>
        </w:trPr>
        <w:tc>
          <w:tcPr>
            <w:tcW w:w="846" w:type="dxa"/>
            <w:vMerge w:val="continue"/>
            <w:noWrap/>
            <w:vAlign w:val="center"/>
          </w:tcPr>
          <w:p/>
        </w:tc>
        <w:tc>
          <w:tcPr>
            <w:tcW w:w="3367" w:type="dxa"/>
            <w:gridSpan w:val="4"/>
            <w:noWrap/>
            <w:vAlign w:val="center"/>
          </w:tcPr>
          <w:p>
            <w:pPr>
              <w:widowControl/>
              <w:snapToGrid w:val="0"/>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该资金用于保障物资储备仓库正常运行，应急装备和救灾物资在应对突发事件时能正常使用；按相关法规要求进行演练；保障应急救援各项工作能顺利开展。</w:t>
            </w:r>
          </w:p>
        </w:tc>
        <w:tc>
          <w:tcPr>
            <w:tcW w:w="2519" w:type="dxa"/>
            <w:gridSpan w:val="4"/>
            <w:noWrap/>
            <w:vAlign w:val="center"/>
          </w:tcPr>
          <w:p>
            <w:pPr>
              <w:widowControl/>
              <w:snapToGrid w:val="0"/>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该资金用于保障物资储备仓库正常运行，应急装备和救灾物资在应对突发事件时能正常使用；按相关法规要求进行演练；保障应急救援各项工作能顺利开展。</w:t>
            </w:r>
          </w:p>
        </w:tc>
        <w:tc>
          <w:tcPr>
            <w:tcW w:w="3392" w:type="dxa"/>
            <w:gridSpan w:val="6"/>
            <w:noWrap/>
            <w:vAlign w:val="center"/>
          </w:tcPr>
          <w:p>
            <w:pPr>
              <w:widowControl/>
              <w:snapToGrid w:val="0"/>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全年开展应急救援36次，出动救援人数413人次、装备1975台（套），转移受灾人口849人，较好的完成了全区的各项应急救援工作，保障了社会安定、人民安全。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jc w:val="center"/>
        </w:trPr>
        <w:tc>
          <w:tcPr>
            <w:tcW w:w="846" w:type="dxa"/>
            <w:vMerge w:val="restart"/>
            <w:noWrap/>
            <w:textDirection w:val="tbRlV"/>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绩效指标</w:t>
            </w:r>
          </w:p>
        </w:tc>
        <w:tc>
          <w:tcPr>
            <w:tcW w:w="1687"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指标</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名称</w:t>
            </w:r>
          </w:p>
        </w:tc>
        <w:tc>
          <w:tcPr>
            <w:tcW w:w="850" w:type="dxa"/>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计量</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单位</w:t>
            </w:r>
          </w:p>
        </w:tc>
        <w:tc>
          <w:tcPr>
            <w:tcW w:w="830" w:type="dxa"/>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指标</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性质</w:t>
            </w:r>
          </w:p>
        </w:tc>
        <w:tc>
          <w:tcPr>
            <w:tcW w:w="822"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指标</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值</w:t>
            </w:r>
          </w:p>
        </w:tc>
        <w:tc>
          <w:tcPr>
            <w:tcW w:w="857" w:type="dxa"/>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全年</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完成值</w:t>
            </w:r>
          </w:p>
        </w:tc>
        <w:tc>
          <w:tcPr>
            <w:tcW w:w="840" w:type="dxa"/>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偏离度（%）</w:t>
            </w:r>
          </w:p>
        </w:tc>
        <w:tc>
          <w:tcPr>
            <w:tcW w:w="839" w:type="dxa"/>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得分</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系数</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w:t>
            </w:r>
          </w:p>
        </w:tc>
        <w:tc>
          <w:tcPr>
            <w:tcW w:w="839"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指标</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权重</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（分）</w:t>
            </w:r>
          </w:p>
        </w:tc>
        <w:tc>
          <w:tcPr>
            <w:tcW w:w="1019"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指标得分</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（分）</w:t>
            </w:r>
          </w:p>
        </w:tc>
        <w:tc>
          <w:tcPr>
            <w:tcW w:w="695" w:type="dxa"/>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846" w:type="dxa"/>
            <w:vMerge w:val="continue"/>
            <w:noWrap/>
            <w:vAlign w:val="center"/>
          </w:tcPr>
          <w:p/>
        </w:tc>
        <w:tc>
          <w:tcPr>
            <w:tcW w:w="1687" w:type="dxa"/>
            <w:gridSpan w:val="2"/>
            <w:noWrap/>
            <w:vAlign w:val="center"/>
          </w:tcPr>
          <w:p>
            <w:pPr>
              <w:rPr>
                <w:rFonts w:ascii="宋体" w:hAnsi="宋体" w:cs="宋体"/>
                <w:color w:val="000000"/>
                <w:sz w:val="22"/>
              </w:rPr>
            </w:pPr>
            <w:r>
              <w:rPr>
                <w:rFonts w:hint="eastAsia"/>
                <w:color w:val="000000"/>
                <w:sz w:val="22"/>
              </w:rPr>
              <w:t>出动救援人次</w:t>
            </w:r>
          </w:p>
        </w:tc>
        <w:tc>
          <w:tcPr>
            <w:tcW w:w="850" w:type="dxa"/>
            <w:noWrap/>
            <w:vAlign w:val="center"/>
          </w:tcPr>
          <w:p>
            <w:pPr>
              <w:rPr>
                <w:rFonts w:ascii="宋体" w:hAnsi="宋体" w:cs="宋体"/>
                <w:color w:val="000000"/>
                <w:sz w:val="22"/>
              </w:rPr>
            </w:pPr>
            <w:r>
              <w:rPr>
                <w:rFonts w:hint="eastAsia"/>
                <w:color w:val="000000"/>
                <w:sz w:val="22"/>
              </w:rPr>
              <w:t>人次</w:t>
            </w:r>
          </w:p>
        </w:tc>
        <w:tc>
          <w:tcPr>
            <w:tcW w:w="830" w:type="dxa"/>
            <w:noWrap/>
            <w:vAlign w:val="center"/>
          </w:tcPr>
          <w:p>
            <w:pPr>
              <w:ind w:firstLine="220" w:firstLineChars="100"/>
              <w:rPr>
                <w:rFonts w:ascii="宋体" w:hAnsi="宋体" w:cs="宋体"/>
                <w:color w:val="000000"/>
                <w:sz w:val="22"/>
              </w:rPr>
            </w:pPr>
            <w:r>
              <w:rPr>
                <w:rFonts w:hint="eastAsia"/>
                <w:color w:val="000000"/>
                <w:sz w:val="22"/>
              </w:rPr>
              <w:t>≥</w:t>
            </w:r>
          </w:p>
        </w:tc>
        <w:tc>
          <w:tcPr>
            <w:tcW w:w="822" w:type="dxa"/>
            <w:gridSpan w:val="2"/>
            <w:noWrap/>
            <w:vAlign w:val="center"/>
          </w:tcPr>
          <w:p>
            <w:pPr>
              <w:ind w:firstLine="220" w:firstLineChars="100"/>
              <w:jc w:val="right"/>
              <w:rPr>
                <w:rFonts w:ascii="宋体" w:hAnsi="宋体" w:cs="宋体"/>
                <w:color w:val="000000"/>
                <w:sz w:val="22"/>
              </w:rPr>
            </w:pPr>
            <w:r>
              <w:rPr>
                <w:rFonts w:hint="eastAsia"/>
                <w:color w:val="000000"/>
                <w:sz w:val="22"/>
              </w:rPr>
              <w:t>400</w:t>
            </w:r>
          </w:p>
        </w:tc>
        <w:tc>
          <w:tcPr>
            <w:tcW w:w="857" w:type="dxa"/>
            <w:noWrap/>
            <w:vAlign w:val="center"/>
          </w:tcPr>
          <w:p>
            <w:pPr>
              <w:ind w:firstLine="220" w:firstLineChars="100"/>
              <w:jc w:val="right"/>
              <w:rPr>
                <w:rFonts w:ascii="宋体" w:hAnsi="宋体" w:cs="宋体"/>
                <w:color w:val="000000"/>
                <w:sz w:val="22"/>
              </w:rPr>
            </w:pPr>
            <w:r>
              <w:rPr>
                <w:rFonts w:hint="eastAsia"/>
                <w:color w:val="000000"/>
                <w:sz w:val="22"/>
              </w:rPr>
              <w:t>413</w:t>
            </w:r>
          </w:p>
        </w:tc>
        <w:tc>
          <w:tcPr>
            <w:tcW w:w="840" w:type="dxa"/>
            <w:noWrap/>
            <w:vAlign w:val="center"/>
          </w:tcPr>
          <w:p>
            <w:pPr>
              <w:ind w:firstLine="220" w:firstLineChars="100"/>
              <w:jc w:val="right"/>
              <w:rPr>
                <w:rFonts w:ascii="宋体" w:hAnsi="宋体" w:cs="宋体"/>
                <w:color w:val="000000"/>
                <w:sz w:val="22"/>
              </w:rPr>
            </w:pPr>
            <w:r>
              <w:rPr>
                <w:rFonts w:hint="eastAsia"/>
                <w:color w:val="000000"/>
                <w:sz w:val="22"/>
              </w:rPr>
              <w:t>3.25</w:t>
            </w:r>
          </w:p>
        </w:tc>
        <w:tc>
          <w:tcPr>
            <w:tcW w:w="839" w:type="dxa"/>
            <w:noWrap/>
            <w:vAlign w:val="center"/>
          </w:tcPr>
          <w:p>
            <w:pPr>
              <w:ind w:firstLine="220" w:firstLineChars="100"/>
              <w:jc w:val="right"/>
              <w:rPr>
                <w:rFonts w:ascii="宋体" w:hAnsi="宋体" w:cs="宋体"/>
                <w:color w:val="000000"/>
                <w:sz w:val="22"/>
              </w:rPr>
            </w:pPr>
            <w:r>
              <w:rPr>
                <w:rFonts w:hint="eastAsia"/>
                <w:color w:val="000000"/>
                <w:sz w:val="22"/>
              </w:rPr>
              <w:t>100</w:t>
            </w:r>
          </w:p>
        </w:tc>
        <w:tc>
          <w:tcPr>
            <w:tcW w:w="839" w:type="dxa"/>
            <w:gridSpan w:val="2"/>
            <w:noWrap/>
            <w:vAlign w:val="center"/>
          </w:tcPr>
          <w:p>
            <w:pPr>
              <w:ind w:firstLine="220" w:firstLineChars="100"/>
              <w:jc w:val="right"/>
              <w:rPr>
                <w:rFonts w:ascii="宋体" w:hAnsi="宋体" w:cs="宋体"/>
                <w:color w:val="000000"/>
                <w:sz w:val="22"/>
              </w:rPr>
            </w:pPr>
            <w:r>
              <w:rPr>
                <w:rFonts w:hint="eastAsia"/>
                <w:color w:val="000000"/>
                <w:sz w:val="22"/>
              </w:rPr>
              <w:t>20</w:t>
            </w:r>
          </w:p>
        </w:tc>
        <w:tc>
          <w:tcPr>
            <w:tcW w:w="1019" w:type="dxa"/>
            <w:gridSpan w:val="2"/>
            <w:noWrap/>
            <w:vAlign w:val="center"/>
          </w:tcPr>
          <w:p>
            <w:pPr>
              <w:ind w:firstLine="220" w:firstLineChars="100"/>
              <w:jc w:val="right"/>
              <w:rPr>
                <w:rFonts w:ascii="宋体" w:hAnsi="宋体" w:cs="宋体"/>
                <w:color w:val="000000"/>
                <w:sz w:val="22"/>
              </w:rPr>
            </w:pPr>
            <w:r>
              <w:rPr>
                <w:rFonts w:hint="eastAsia"/>
                <w:color w:val="000000"/>
                <w:sz w:val="22"/>
              </w:rPr>
              <w:t>20</w:t>
            </w:r>
          </w:p>
        </w:tc>
        <w:tc>
          <w:tcPr>
            <w:tcW w:w="695" w:type="dxa"/>
            <w:noWrap/>
            <w:vAlign w:val="center"/>
          </w:tcPr>
          <w:p>
            <w:pPr>
              <w:widowControl/>
              <w:snapToGrid w:val="0"/>
              <w:jc w:val="center"/>
              <w:rPr>
                <w:rFonts w:ascii="宋体" w:hAnsi="宋体" w:eastAsia="方正仿宋_GBK" w:cs="方正仿宋_GBK"/>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846" w:type="dxa"/>
            <w:vMerge w:val="continue"/>
            <w:noWrap/>
            <w:vAlign w:val="center"/>
          </w:tcPr>
          <w:p/>
        </w:tc>
        <w:tc>
          <w:tcPr>
            <w:tcW w:w="1687" w:type="dxa"/>
            <w:gridSpan w:val="2"/>
            <w:noWrap/>
            <w:vAlign w:val="center"/>
          </w:tcPr>
          <w:p>
            <w:pPr>
              <w:rPr>
                <w:rFonts w:ascii="宋体" w:hAnsi="宋体" w:cs="宋体"/>
                <w:color w:val="000000"/>
                <w:sz w:val="22"/>
              </w:rPr>
            </w:pPr>
            <w:r>
              <w:rPr>
                <w:rFonts w:hint="eastAsia"/>
                <w:color w:val="000000"/>
                <w:sz w:val="22"/>
              </w:rPr>
              <w:t>动用救援装备</w:t>
            </w:r>
          </w:p>
        </w:tc>
        <w:tc>
          <w:tcPr>
            <w:tcW w:w="850" w:type="dxa"/>
            <w:noWrap/>
            <w:vAlign w:val="center"/>
          </w:tcPr>
          <w:p>
            <w:pPr>
              <w:rPr>
                <w:rFonts w:ascii="宋体" w:hAnsi="宋体" w:cs="宋体"/>
                <w:color w:val="000000"/>
                <w:sz w:val="22"/>
              </w:rPr>
            </w:pPr>
            <w:r>
              <w:rPr>
                <w:rFonts w:hint="eastAsia"/>
                <w:color w:val="000000"/>
                <w:sz w:val="22"/>
              </w:rPr>
              <w:t>台（套）</w:t>
            </w:r>
          </w:p>
        </w:tc>
        <w:tc>
          <w:tcPr>
            <w:tcW w:w="830" w:type="dxa"/>
            <w:noWrap/>
            <w:vAlign w:val="center"/>
          </w:tcPr>
          <w:p>
            <w:pPr>
              <w:ind w:firstLine="220" w:firstLineChars="100"/>
              <w:rPr>
                <w:rFonts w:ascii="宋体" w:hAnsi="宋体" w:cs="宋体"/>
                <w:color w:val="000000"/>
                <w:sz w:val="22"/>
              </w:rPr>
            </w:pPr>
            <w:r>
              <w:rPr>
                <w:rFonts w:hint="eastAsia"/>
                <w:color w:val="000000"/>
                <w:sz w:val="22"/>
              </w:rPr>
              <w:t>≥</w:t>
            </w:r>
          </w:p>
        </w:tc>
        <w:tc>
          <w:tcPr>
            <w:tcW w:w="822" w:type="dxa"/>
            <w:gridSpan w:val="2"/>
            <w:noWrap/>
            <w:vAlign w:val="center"/>
          </w:tcPr>
          <w:p>
            <w:pPr>
              <w:ind w:right="110"/>
              <w:jc w:val="right"/>
              <w:rPr>
                <w:rFonts w:ascii="宋体" w:hAnsi="宋体" w:cs="宋体"/>
                <w:color w:val="000000"/>
                <w:sz w:val="22"/>
              </w:rPr>
            </w:pPr>
            <w:r>
              <w:rPr>
                <w:rFonts w:hint="eastAsia"/>
                <w:color w:val="000000"/>
                <w:sz w:val="22"/>
              </w:rPr>
              <w:t>2000</w:t>
            </w:r>
          </w:p>
        </w:tc>
        <w:tc>
          <w:tcPr>
            <w:tcW w:w="857" w:type="dxa"/>
            <w:noWrap/>
            <w:vAlign w:val="center"/>
          </w:tcPr>
          <w:p>
            <w:pPr>
              <w:ind w:right="110"/>
              <w:jc w:val="right"/>
              <w:rPr>
                <w:color w:val="000000"/>
                <w:sz w:val="22"/>
              </w:rPr>
            </w:pPr>
            <w:r>
              <w:rPr>
                <w:rFonts w:hint="eastAsia"/>
                <w:color w:val="000000"/>
                <w:sz w:val="22"/>
              </w:rPr>
              <w:t>1975</w:t>
            </w:r>
          </w:p>
        </w:tc>
        <w:tc>
          <w:tcPr>
            <w:tcW w:w="840" w:type="dxa"/>
            <w:noWrap/>
            <w:vAlign w:val="center"/>
          </w:tcPr>
          <w:p>
            <w:pPr>
              <w:ind w:firstLine="220" w:firstLineChars="100"/>
              <w:jc w:val="right"/>
              <w:rPr>
                <w:rFonts w:ascii="宋体" w:hAnsi="宋体" w:cs="宋体"/>
                <w:color w:val="000000"/>
                <w:sz w:val="22"/>
              </w:rPr>
            </w:pPr>
            <w:r>
              <w:rPr>
                <w:rFonts w:hint="eastAsia"/>
                <w:color w:val="000000"/>
                <w:sz w:val="22"/>
              </w:rPr>
              <w:t>1.25</w:t>
            </w:r>
          </w:p>
        </w:tc>
        <w:tc>
          <w:tcPr>
            <w:tcW w:w="839" w:type="dxa"/>
            <w:noWrap/>
            <w:vAlign w:val="center"/>
          </w:tcPr>
          <w:p>
            <w:pPr>
              <w:ind w:firstLine="220" w:firstLineChars="100"/>
              <w:jc w:val="right"/>
              <w:rPr>
                <w:rFonts w:ascii="宋体" w:hAnsi="宋体" w:cs="宋体"/>
                <w:color w:val="000000"/>
                <w:sz w:val="22"/>
              </w:rPr>
            </w:pPr>
            <w:r>
              <w:rPr>
                <w:rFonts w:hint="eastAsia"/>
                <w:color w:val="000000"/>
                <w:sz w:val="22"/>
              </w:rPr>
              <w:t>87.5</w:t>
            </w:r>
          </w:p>
        </w:tc>
        <w:tc>
          <w:tcPr>
            <w:tcW w:w="839" w:type="dxa"/>
            <w:gridSpan w:val="2"/>
            <w:noWrap/>
            <w:vAlign w:val="center"/>
          </w:tcPr>
          <w:p>
            <w:pPr>
              <w:ind w:firstLine="220" w:firstLineChars="100"/>
              <w:jc w:val="right"/>
              <w:rPr>
                <w:rFonts w:ascii="宋体" w:hAnsi="宋体" w:cs="宋体"/>
                <w:color w:val="000000"/>
                <w:sz w:val="22"/>
              </w:rPr>
            </w:pPr>
            <w:r>
              <w:rPr>
                <w:rFonts w:hint="eastAsia"/>
                <w:color w:val="000000"/>
                <w:sz w:val="22"/>
              </w:rPr>
              <w:t>10</w:t>
            </w:r>
          </w:p>
        </w:tc>
        <w:tc>
          <w:tcPr>
            <w:tcW w:w="1019" w:type="dxa"/>
            <w:gridSpan w:val="2"/>
            <w:noWrap/>
            <w:vAlign w:val="center"/>
          </w:tcPr>
          <w:p>
            <w:pPr>
              <w:ind w:firstLine="220" w:firstLineChars="100"/>
              <w:jc w:val="right"/>
              <w:rPr>
                <w:rFonts w:ascii="宋体" w:hAnsi="宋体" w:cs="宋体"/>
                <w:color w:val="000000"/>
                <w:sz w:val="22"/>
              </w:rPr>
            </w:pPr>
            <w:r>
              <w:rPr>
                <w:rFonts w:hint="eastAsia"/>
                <w:color w:val="000000"/>
                <w:sz w:val="22"/>
              </w:rPr>
              <w:t>8.75</w:t>
            </w:r>
          </w:p>
        </w:tc>
        <w:tc>
          <w:tcPr>
            <w:tcW w:w="695" w:type="dxa"/>
            <w:noWrap/>
            <w:vAlign w:val="center"/>
          </w:tcPr>
          <w:p>
            <w:pPr>
              <w:widowControl/>
              <w:snapToGrid w:val="0"/>
              <w:jc w:val="center"/>
              <w:rPr>
                <w:rFonts w:ascii="宋体" w:hAnsi="宋体" w:eastAsia="方正仿宋_GBK" w:cs="方正仿宋_GBK"/>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846" w:type="dxa"/>
            <w:vMerge w:val="continue"/>
            <w:noWrap/>
            <w:vAlign w:val="center"/>
          </w:tcPr>
          <w:p/>
        </w:tc>
        <w:tc>
          <w:tcPr>
            <w:tcW w:w="1687" w:type="dxa"/>
            <w:gridSpan w:val="2"/>
            <w:noWrap/>
            <w:vAlign w:val="center"/>
          </w:tcPr>
          <w:p>
            <w:pPr>
              <w:rPr>
                <w:rFonts w:ascii="宋体" w:hAnsi="宋体" w:cs="宋体"/>
                <w:color w:val="000000"/>
                <w:sz w:val="22"/>
              </w:rPr>
            </w:pPr>
            <w:r>
              <w:rPr>
                <w:rFonts w:hint="eastAsia"/>
                <w:color w:val="000000"/>
                <w:sz w:val="22"/>
              </w:rPr>
              <w:t>救灾物资储备保障人数</w:t>
            </w:r>
          </w:p>
        </w:tc>
        <w:tc>
          <w:tcPr>
            <w:tcW w:w="850" w:type="dxa"/>
            <w:noWrap/>
            <w:vAlign w:val="center"/>
          </w:tcPr>
          <w:p>
            <w:pPr>
              <w:rPr>
                <w:rFonts w:ascii="宋体" w:hAnsi="宋体" w:cs="宋体"/>
                <w:color w:val="000000"/>
                <w:sz w:val="22"/>
              </w:rPr>
            </w:pPr>
            <w:r>
              <w:rPr>
                <w:rFonts w:hint="eastAsia"/>
                <w:color w:val="000000"/>
                <w:sz w:val="22"/>
              </w:rPr>
              <w:t>万人</w:t>
            </w:r>
          </w:p>
        </w:tc>
        <w:tc>
          <w:tcPr>
            <w:tcW w:w="830" w:type="dxa"/>
            <w:noWrap/>
            <w:vAlign w:val="center"/>
          </w:tcPr>
          <w:p>
            <w:pPr>
              <w:ind w:firstLine="220" w:firstLineChars="100"/>
              <w:rPr>
                <w:rFonts w:ascii="宋体" w:hAnsi="宋体" w:cs="宋体"/>
                <w:color w:val="000000"/>
                <w:sz w:val="22"/>
              </w:rPr>
            </w:pPr>
            <w:r>
              <w:rPr>
                <w:rFonts w:hint="eastAsia"/>
                <w:color w:val="000000"/>
                <w:sz w:val="22"/>
              </w:rPr>
              <w:t>≥</w:t>
            </w:r>
          </w:p>
        </w:tc>
        <w:tc>
          <w:tcPr>
            <w:tcW w:w="822" w:type="dxa"/>
            <w:gridSpan w:val="2"/>
            <w:noWrap/>
            <w:vAlign w:val="center"/>
          </w:tcPr>
          <w:p>
            <w:pPr>
              <w:ind w:firstLine="220" w:firstLineChars="100"/>
              <w:jc w:val="right"/>
              <w:rPr>
                <w:rFonts w:ascii="宋体" w:hAnsi="宋体" w:cs="宋体"/>
                <w:color w:val="000000"/>
                <w:sz w:val="22"/>
              </w:rPr>
            </w:pPr>
            <w:r>
              <w:rPr>
                <w:rFonts w:hint="eastAsia"/>
                <w:color w:val="000000"/>
                <w:sz w:val="22"/>
              </w:rPr>
              <w:t>2</w:t>
            </w:r>
          </w:p>
        </w:tc>
        <w:tc>
          <w:tcPr>
            <w:tcW w:w="857" w:type="dxa"/>
            <w:noWrap/>
            <w:vAlign w:val="center"/>
          </w:tcPr>
          <w:p>
            <w:pPr>
              <w:ind w:firstLine="220" w:firstLineChars="100"/>
              <w:jc w:val="right"/>
              <w:rPr>
                <w:rFonts w:ascii="宋体" w:hAnsi="宋体" w:cs="宋体"/>
                <w:color w:val="000000"/>
                <w:sz w:val="22"/>
              </w:rPr>
            </w:pPr>
            <w:r>
              <w:rPr>
                <w:rFonts w:hint="eastAsia"/>
                <w:color w:val="000000"/>
                <w:sz w:val="22"/>
              </w:rPr>
              <w:t>2</w:t>
            </w:r>
          </w:p>
        </w:tc>
        <w:tc>
          <w:tcPr>
            <w:tcW w:w="840" w:type="dxa"/>
            <w:noWrap/>
            <w:vAlign w:val="center"/>
          </w:tcPr>
          <w:p>
            <w:pPr>
              <w:ind w:firstLine="220" w:firstLineChars="100"/>
              <w:jc w:val="right"/>
              <w:rPr>
                <w:rFonts w:ascii="宋体" w:hAnsi="宋体" w:cs="宋体"/>
                <w:color w:val="000000"/>
                <w:sz w:val="22"/>
              </w:rPr>
            </w:pPr>
            <w:r>
              <w:rPr>
                <w:rFonts w:hint="eastAsia"/>
                <w:color w:val="000000"/>
                <w:sz w:val="22"/>
              </w:rPr>
              <w:t>0</w:t>
            </w:r>
          </w:p>
        </w:tc>
        <w:tc>
          <w:tcPr>
            <w:tcW w:w="839" w:type="dxa"/>
            <w:noWrap/>
            <w:vAlign w:val="center"/>
          </w:tcPr>
          <w:p>
            <w:pPr>
              <w:ind w:firstLine="220" w:firstLineChars="100"/>
              <w:jc w:val="right"/>
              <w:rPr>
                <w:rFonts w:ascii="宋体" w:hAnsi="宋体" w:cs="宋体"/>
                <w:color w:val="000000"/>
                <w:sz w:val="22"/>
              </w:rPr>
            </w:pPr>
            <w:r>
              <w:rPr>
                <w:rFonts w:hint="eastAsia"/>
                <w:color w:val="000000"/>
                <w:sz w:val="22"/>
              </w:rPr>
              <w:t>100</w:t>
            </w:r>
          </w:p>
        </w:tc>
        <w:tc>
          <w:tcPr>
            <w:tcW w:w="839" w:type="dxa"/>
            <w:gridSpan w:val="2"/>
            <w:noWrap/>
            <w:vAlign w:val="center"/>
          </w:tcPr>
          <w:p>
            <w:pPr>
              <w:ind w:firstLine="220" w:firstLineChars="100"/>
              <w:jc w:val="right"/>
              <w:rPr>
                <w:rFonts w:ascii="宋体" w:hAnsi="宋体" w:cs="宋体"/>
                <w:color w:val="000000"/>
                <w:sz w:val="22"/>
              </w:rPr>
            </w:pPr>
            <w:r>
              <w:rPr>
                <w:rFonts w:hint="eastAsia"/>
                <w:color w:val="000000"/>
                <w:sz w:val="22"/>
              </w:rPr>
              <w:t>10</w:t>
            </w:r>
          </w:p>
        </w:tc>
        <w:tc>
          <w:tcPr>
            <w:tcW w:w="1019" w:type="dxa"/>
            <w:gridSpan w:val="2"/>
            <w:noWrap/>
            <w:vAlign w:val="center"/>
          </w:tcPr>
          <w:p>
            <w:pPr>
              <w:ind w:firstLine="220" w:firstLineChars="100"/>
              <w:jc w:val="right"/>
              <w:rPr>
                <w:rFonts w:ascii="宋体" w:hAnsi="宋体" w:cs="宋体"/>
                <w:color w:val="000000"/>
                <w:sz w:val="22"/>
              </w:rPr>
            </w:pPr>
            <w:r>
              <w:rPr>
                <w:rFonts w:hint="eastAsia"/>
                <w:color w:val="000000"/>
                <w:sz w:val="22"/>
              </w:rPr>
              <w:t>10</w:t>
            </w:r>
          </w:p>
        </w:tc>
        <w:tc>
          <w:tcPr>
            <w:tcW w:w="695" w:type="dxa"/>
            <w:noWrap/>
            <w:vAlign w:val="center"/>
          </w:tcPr>
          <w:p>
            <w:pPr>
              <w:widowControl/>
              <w:snapToGrid w:val="0"/>
              <w:jc w:val="center"/>
              <w:rPr>
                <w:rFonts w:ascii="宋体" w:hAnsi="宋体" w:eastAsia="方正仿宋_GBK" w:cs="方正仿宋_GBK"/>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846" w:type="dxa"/>
            <w:vMerge w:val="continue"/>
            <w:noWrap/>
            <w:vAlign w:val="center"/>
          </w:tcPr>
          <w:p/>
        </w:tc>
        <w:tc>
          <w:tcPr>
            <w:tcW w:w="1687" w:type="dxa"/>
            <w:gridSpan w:val="2"/>
            <w:noWrap/>
            <w:vAlign w:val="center"/>
          </w:tcPr>
          <w:p>
            <w:pPr>
              <w:rPr>
                <w:rFonts w:ascii="宋体" w:hAnsi="宋体" w:cs="宋体"/>
                <w:color w:val="000000"/>
                <w:sz w:val="22"/>
              </w:rPr>
            </w:pPr>
            <w:r>
              <w:rPr>
                <w:rFonts w:hint="eastAsia"/>
                <w:color w:val="000000"/>
                <w:sz w:val="22"/>
              </w:rPr>
              <w:t>应急抢险救援演练次数</w:t>
            </w:r>
          </w:p>
        </w:tc>
        <w:tc>
          <w:tcPr>
            <w:tcW w:w="850" w:type="dxa"/>
            <w:noWrap/>
            <w:vAlign w:val="center"/>
          </w:tcPr>
          <w:p>
            <w:pPr>
              <w:ind w:firstLine="220" w:firstLineChars="100"/>
              <w:rPr>
                <w:rFonts w:ascii="宋体" w:hAnsi="宋体" w:cs="宋体"/>
                <w:color w:val="000000"/>
                <w:sz w:val="22"/>
              </w:rPr>
            </w:pPr>
            <w:r>
              <w:rPr>
                <w:rFonts w:hint="eastAsia"/>
                <w:color w:val="000000"/>
                <w:sz w:val="22"/>
              </w:rPr>
              <w:t>次</w:t>
            </w:r>
          </w:p>
        </w:tc>
        <w:tc>
          <w:tcPr>
            <w:tcW w:w="830" w:type="dxa"/>
            <w:noWrap/>
            <w:vAlign w:val="center"/>
          </w:tcPr>
          <w:p>
            <w:pPr>
              <w:ind w:firstLine="220" w:firstLineChars="100"/>
              <w:rPr>
                <w:rFonts w:ascii="宋体" w:hAnsi="宋体" w:cs="宋体"/>
                <w:color w:val="000000"/>
                <w:sz w:val="22"/>
              </w:rPr>
            </w:pPr>
            <w:r>
              <w:rPr>
                <w:rFonts w:hint="eastAsia"/>
                <w:color w:val="000000"/>
                <w:sz w:val="22"/>
              </w:rPr>
              <w:t>≥</w:t>
            </w:r>
          </w:p>
        </w:tc>
        <w:tc>
          <w:tcPr>
            <w:tcW w:w="822" w:type="dxa"/>
            <w:gridSpan w:val="2"/>
            <w:noWrap/>
            <w:vAlign w:val="center"/>
          </w:tcPr>
          <w:p>
            <w:pPr>
              <w:ind w:firstLine="220" w:firstLineChars="100"/>
              <w:jc w:val="right"/>
              <w:rPr>
                <w:rFonts w:ascii="宋体" w:hAnsi="宋体" w:cs="宋体"/>
                <w:color w:val="000000"/>
                <w:sz w:val="22"/>
              </w:rPr>
            </w:pPr>
            <w:r>
              <w:rPr>
                <w:rFonts w:hint="eastAsia"/>
                <w:color w:val="000000"/>
                <w:sz w:val="22"/>
              </w:rPr>
              <w:t>5</w:t>
            </w:r>
          </w:p>
        </w:tc>
        <w:tc>
          <w:tcPr>
            <w:tcW w:w="857" w:type="dxa"/>
            <w:noWrap/>
            <w:vAlign w:val="center"/>
          </w:tcPr>
          <w:p>
            <w:pPr>
              <w:ind w:firstLine="220" w:firstLineChars="100"/>
              <w:jc w:val="right"/>
              <w:rPr>
                <w:rFonts w:ascii="宋体" w:hAnsi="宋体" w:cs="宋体"/>
                <w:color w:val="000000"/>
                <w:sz w:val="22"/>
              </w:rPr>
            </w:pPr>
            <w:r>
              <w:rPr>
                <w:rFonts w:hint="eastAsia"/>
                <w:color w:val="000000"/>
                <w:sz w:val="22"/>
              </w:rPr>
              <w:t>6</w:t>
            </w:r>
          </w:p>
        </w:tc>
        <w:tc>
          <w:tcPr>
            <w:tcW w:w="840" w:type="dxa"/>
            <w:noWrap/>
            <w:vAlign w:val="center"/>
          </w:tcPr>
          <w:p>
            <w:pPr>
              <w:ind w:firstLine="220" w:firstLineChars="100"/>
              <w:jc w:val="right"/>
              <w:rPr>
                <w:rFonts w:ascii="宋体" w:hAnsi="宋体" w:cs="宋体"/>
                <w:color w:val="000000"/>
                <w:sz w:val="22"/>
              </w:rPr>
            </w:pPr>
            <w:r>
              <w:rPr>
                <w:rFonts w:hint="eastAsia"/>
                <w:color w:val="000000"/>
                <w:sz w:val="22"/>
              </w:rPr>
              <w:t>20</w:t>
            </w:r>
          </w:p>
        </w:tc>
        <w:tc>
          <w:tcPr>
            <w:tcW w:w="839" w:type="dxa"/>
            <w:noWrap/>
            <w:vAlign w:val="center"/>
          </w:tcPr>
          <w:p>
            <w:pPr>
              <w:ind w:firstLine="220" w:firstLineChars="100"/>
              <w:jc w:val="right"/>
              <w:rPr>
                <w:rFonts w:ascii="宋体" w:hAnsi="宋体" w:cs="宋体"/>
                <w:color w:val="000000"/>
                <w:sz w:val="22"/>
              </w:rPr>
            </w:pPr>
            <w:r>
              <w:rPr>
                <w:rFonts w:hint="eastAsia"/>
                <w:color w:val="000000"/>
                <w:sz w:val="22"/>
              </w:rPr>
              <w:t>100</w:t>
            </w:r>
          </w:p>
        </w:tc>
        <w:tc>
          <w:tcPr>
            <w:tcW w:w="839" w:type="dxa"/>
            <w:gridSpan w:val="2"/>
            <w:noWrap/>
            <w:vAlign w:val="center"/>
          </w:tcPr>
          <w:p>
            <w:pPr>
              <w:ind w:firstLine="220" w:firstLineChars="100"/>
              <w:jc w:val="right"/>
              <w:rPr>
                <w:rFonts w:ascii="宋体" w:hAnsi="宋体" w:cs="宋体"/>
                <w:color w:val="000000"/>
                <w:sz w:val="22"/>
              </w:rPr>
            </w:pPr>
            <w:r>
              <w:rPr>
                <w:rFonts w:hint="eastAsia"/>
                <w:color w:val="000000"/>
                <w:sz w:val="22"/>
              </w:rPr>
              <w:t>10</w:t>
            </w:r>
          </w:p>
        </w:tc>
        <w:tc>
          <w:tcPr>
            <w:tcW w:w="1019" w:type="dxa"/>
            <w:gridSpan w:val="2"/>
            <w:noWrap/>
            <w:vAlign w:val="center"/>
          </w:tcPr>
          <w:p>
            <w:pPr>
              <w:ind w:firstLine="220" w:firstLineChars="100"/>
              <w:jc w:val="right"/>
              <w:rPr>
                <w:rFonts w:ascii="宋体" w:hAnsi="宋体" w:cs="宋体"/>
                <w:color w:val="000000"/>
                <w:sz w:val="22"/>
              </w:rPr>
            </w:pPr>
            <w:r>
              <w:rPr>
                <w:rFonts w:hint="eastAsia"/>
                <w:color w:val="000000"/>
                <w:sz w:val="22"/>
              </w:rPr>
              <w:t>10</w:t>
            </w:r>
          </w:p>
        </w:tc>
        <w:tc>
          <w:tcPr>
            <w:tcW w:w="695" w:type="dxa"/>
            <w:noWrap/>
            <w:vAlign w:val="center"/>
          </w:tcPr>
          <w:p>
            <w:pPr>
              <w:widowControl/>
              <w:snapToGrid w:val="0"/>
              <w:jc w:val="center"/>
              <w:rPr>
                <w:rFonts w:ascii="宋体" w:hAnsi="宋体" w:eastAsia="方正仿宋_GBK" w:cs="方正仿宋_GBK"/>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846" w:type="dxa"/>
            <w:vMerge w:val="continue"/>
            <w:noWrap/>
            <w:vAlign w:val="center"/>
          </w:tcPr>
          <w:p/>
        </w:tc>
        <w:tc>
          <w:tcPr>
            <w:tcW w:w="1687" w:type="dxa"/>
            <w:gridSpan w:val="2"/>
            <w:noWrap/>
            <w:vAlign w:val="center"/>
          </w:tcPr>
          <w:p>
            <w:pPr>
              <w:rPr>
                <w:rFonts w:ascii="宋体" w:hAnsi="宋体" w:cs="宋体"/>
                <w:color w:val="000000"/>
                <w:sz w:val="22"/>
              </w:rPr>
            </w:pPr>
            <w:r>
              <w:rPr>
                <w:rFonts w:hint="eastAsia"/>
                <w:color w:val="000000"/>
                <w:sz w:val="22"/>
              </w:rPr>
              <w:t>应急救援物资完好率</w:t>
            </w:r>
          </w:p>
        </w:tc>
        <w:tc>
          <w:tcPr>
            <w:tcW w:w="850" w:type="dxa"/>
            <w:noWrap/>
            <w:vAlign w:val="center"/>
          </w:tcPr>
          <w:p>
            <w:pPr>
              <w:ind w:firstLine="220" w:firstLineChars="100"/>
              <w:rPr>
                <w:rFonts w:ascii="宋体" w:hAnsi="宋体" w:cs="宋体"/>
                <w:color w:val="000000"/>
                <w:sz w:val="22"/>
              </w:rPr>
            </w:pPr>
            <w:r>
              <w:rPr>
                <w:rFonts w:hint="eastAsia"/>
                <w:color w:val="000000"/>
                <w:sz w:val="22"/>
              </w:rPr>
              <w:t>%</w:t>
            </w:r>
          </w:p>
        </w:tc>
        <w:tc>
          <w:tcPr>
            <w:tcW w:w="830" w:type="dxa"/>
            <w:noWrap/>
            <w:vAlign w:val="center"/>
          </w:tcPr>
          <w:p>
            <w:pPr>
              <w:ind w:firstLine="220" w:firstLineChars="100"/>
              <w:rPr>
                <w:rFonts w:ascii="宋体" w:hAnsi="宋体" w:cs="宋体"/>
                <w:color w:val="000000"/>
                <w:sz w:val="22"/>
              </w:rPr>
            </w:pPr>
            <w:r>
              <w:rPr>
                <w:rFonts w:hint="eastAsia"/>
                <w:color w:val="000000"/>
                <w:sz w:val="22"/>
              </w:rPr>
              <w:t>≥</w:t>
            </w:r>
          </w:p>
        </w:tc>
        <w:tc>
          <w:tcPr>
            <w:tcW w:w="822" w:type="dxa"/>
            <w:gridSpan w:val="2"/>
            <w:noWrap/>
            <w:vAlign w:val="center"/>
          </w:tcPr>
          <w:p>
            <w:pPr>
              <w:ind w:firstLine="220" w:firstLineChars="100"/>
              <w:jc w:val="right"/>
              <w:rPr>
                <w:rFonts w:ascii="宋体" w:hAnsi="宋体" w:cs="宋体"/>
                <w:color w:val="000000"/>
                <w:sz w:val="22"/>
              </w:rPr>
            </w:pPr>
            <w:r>
              <w:rPr>
                <w:rFonts w:hint="eastAsia"/>
                <w:color w:val="000000"/>
                <w:sz w:val="22"/>
              </w:rPr>
              <w:t>90</w:t>
            </w:r>
          </w:p>
        </w:tc>
        <w:tc>
          <w:tcPr>
            <w:tcW w:w="857" w:type="dxa"/>
            <w:noWrap/>
            <w:vAlign w:val="center"/>
          </w:tcPr>
          <w:p>
            <w:pPr>
              <w:ind w:firstLine="220" w:firstLineChars="100"/>
              <w:jc w:val="right"/>
              <w:rPr>
                <w:rFonts w:ascii="宋体" w:hAnsi="宋体" w:cs="宋体"/>
                <w:color w:val="000000"/>
                <w:sz w:val="22"/>
              </w:rPr>
            </w:pPr>
            <w:r>
              <w:rPr>
                <w:rFonts w:hint="eastAsia"/>
                <w:color w:val="000000"/>
                <w:sz w:val="22"/>
              </w:rPr>
              <w:t>90</w:t>
            </w:r>
          </w:p>
        </w:tc>
        <w:tc>
          <w:tcPr>
            <w:tcW w:w="840" w:type="dxa"/>
            <w:noWrap/>
            <w:vAlign w:val="center"/>
          </w:tcPr>
          <w:p>
            <w:pPr>
              <w:ind w:firstLine="220" w:firstLineChars="100"/>
              <w:jc w:val="right"/>
              <w:rPr>
                <w:rFonts w:ascii="宋体" w:hAnsi="宋体" w:cs="宋体"/>
                <w:color w:val="000000"/>
                <w:sz w:val="22"/>
              </w:rPr>
            </w:pPr>
            <w:r>
              <w:rPr>
                <w:rFonts w:hint="eastAsia"/>
                <w:color w:val="000000"/>
                <w:sz w:val="22"/>
              </w:rPr>
              <w:t>0</w:t>
            </w:r>
          </w:p>
        </w:tc>
        <w:tc>
          <w:tcPr>
            <w:tcW w:w="839" w:type="dxa"/>
            <w:noWrap/>
            <w:vAlign w:val="center"/>
          </w:tcPr>
          <w:p>
            <w:pPr>
              <w:ind w:firstLine="220" w:firstLineChars="100"/>
              <w:jc w:val="right"/>
              <w:rPr>
                <w:rFonts w:ascii="宋体" w:hAnsi="宋体" w:cs="宋体"/>
                <w:color w:val="000000"/>
                <w:sz w:val="22"/>
              </w:rPr>
            </w:pPr>
            <w:r>
              <w:rPr>
                <w:rFonts w:hint="eastAsia"/>
                <w:color w:val="000000"/>
                <w:sz w:val="22"/>
              </w:rPr>
              <w:t>100</w:t>
            </w:r>
          </w:p>
        </w:tc>
        <w:tc>
          <w:tcPr>
            <w:tcW w:w="839" w:type="dxa"/>
            <w:gridSpan w:val="2"/>
            <w:noWrap/>
            <w:vAlign w:val="center"/>
          </w:tcPr>
          <w:p>
            <w:pPr>
              <w:ind w:firstLine="220" w:firstLineChars="100"/>
              <w:jc w:val="right"/>
              <w:rPr>
                <w:rFonts w:ascii="宋体" w:hAnsi="宋体" w:cs="宋体"/>
                <w:color w:val="000000"/>
                <w:sz w:val="22"/>
              </w:rPr>
            </w:pPr>
            <w:r>
              <w:rPr>
                <w:rFonts w:hint="eastAsia"/>
                <w:color w:val="000000"/>
                <w:sz w:val="22"/>
              </w:rPr>
              <w:t>10</w:t>
            </w:r>
          </w:p>
        </w:tc>
        <w:tc>
          <w:tcPr>
            <w:tcW w:w="1019" w:type="dxa"/>
            <w:gridSpan w:val="2"/>
            <w:noWrap/>
            <w:vAlign w:val="center"/>
          </w:tcPr>
          <w:p>
            <w:pPr>
              <w:ind w:firstLine="220" w:firstLineChars="100"/>
              <w:jc w:val="right"/>
              <w:rPr>
                <w:rFonts w:ascii="宋体" w:hAnsi="宋体" w:cs="宋体"/>
                <w:color w:val="000000"/>
                <w:sz w:val="22"/>
              </w:rPr>
            </w:pPr>
            <w:r>
              <w:rPr>
                <w:rFonts w:hint="eastAsia"/>
                <w:color w:val="000000"/>
                <w:sz w:val="22"/>
              </w:rPr>
              <w:t>10</w:t>
            </w:r>
          </w:p>
        </w:tc>
        <w:tc>
          <w:tcPr>
            <w:tcW w:w="695" w:type="dxa"/>
            <w:noWrap/>
            <w:vAlign w:val="center"/>
          </w:tcPr>
          <w:p>
            <w:pPr>
              <w:widowControl/>
              <w:snapToGrid w:val="0"/>
              <w:jc w:val="center"/>
              <w:rPr>
                <w:rFonts w:ascii="宋体" w:hAnsi="宋体" w:eastAsia="方正仿宋_GBK" w:cs="方正仿宋_GBK"/>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846" w:type="dxa"/>
            <w:vMerge w:val="continue"/>
            <w:noWrap/>
            <w:vAlign w:val="center"/>
          </w:tcPr>
          <w:p/>
        </w:tc>
        <w:tc>
          <w:tcPr>
            <w:tcW w:w="1687" w:type="dxa"/>
            <w:gridSpan w:val="2"/>
            <w:noWrap/>
            <w:vAlign w:val="center"/>
          </w:tcPr>
          <w:p>
            <w:pPr>
              <w:rPr>
                <w:rFonts w:ascii="宋体" w:hAnsi="宋体" w:cs="宋体"/>
                <w:color w:val="000000"/>
                <w:sz w:val="22"/>
              </w:rPr>
            </w:pPr>
            <w:r>
              <w:rPr>
                <w:rFonts w:hint="eastAsia"/>
                <w:color w:val="000000"/>
                <w:sz w:val="22"/>
              </w:rPr>
              <w:t>仓库正常运行时间</w:t>
            </w:r>
          </w:p>
        </w:tc>
        <w:tc>
          <w:tcPr>
            <w:tcW w:w="850" w:type="dxa"/>
            <w:noWrap/>
            <w:vAlign w:val="center"/>
          </w:tcPr>
          <w:p>
            <w:pPr>
              <w:ind w:firstLine="220" w:firstLineChars="100"/>
              <w:rPr>
                <w:rFonts w:ascii="宋体" w:hAnsi="宋体" w:cs="宋体"/>
                <w:color w:val="000000"/>
                <w:sz w:val="22"/>
              </w:rPr>
            </w:pPr>
            <w:r>
              <w:rPr>
                <w:rFonts w:hint="eastAsia"/>
                <w:color w:val="000000"/>
                <w:sz w:val="22"/>
              </w:rPr>
              <w:t>年</w:t>
            </w:r>
          </w:p>
        </w:tc>
        <w:tc>
          <w:tcPr>
            <w:tcW w:w="830" w:type="dxa"/>
            <w:noWrap/>
            <w:vAlign w:val="center"/>
          </w:tcPr>
          <w:p>
            <w:pPr>
              <w:ind w:firstLine="220" w:firstLineChars="100"/>
              <w:rPr>
                <w:rFonts w:ascii="宋体" w:hAnsi="宋体" w:cs="宋体"/>
                <w:color w:val="000000"/>
                <w:sz w:val="22"/>
              </w:rPr>
            </w:pPr>
            <w:r>
              <w:rPr>
                <w:rFonts w:hint="eastAsia"/>
                <w:color w:val="000000"/>
                <w:sz w:val="22"/>
              </w:rPr>
              <w:t>≥</w:t>
            </w:r>
          </w:p>
        </w:tc>
        <w:tc>
          <w:tcPr>
            <w:tcW w:w="822" w:type="dxa"/>
            <w:gridSpan w:val="2"/>
            <w:noWrap/>
            <w:vAlign w:val="center"/>
          </w:tcPr>
          <w:p>
            <w:pPr>
              <w:ind w:firstLine="220" w:firstLineChars="100"/>
              <w:jc w:val="right"/>
              <w:rPr>
                <w:rFonts w:ascii="宋体" w:hAnsi="宋体" w:cs="宋体"/>
                <w:color w:val="000000"/>
                <w:sz w:val="22"/>
              </w:rPr>
            </w:pPr>
            <w:r>
              <w:rPr>
                <w:rFonts w:hint="eastAsia"/>
                <w:color w:val="000000"/>
                <w:sz w:val="22"/>
              </w:rPr>
              <w:t>10</w:t>
            </w:r>
          </w:p>
        </w:tc>
        <w:tc>
          <w:tcPr>
            <w:tcW w:w="857" w:type="dxa"/>
            <w:noWrap/>
            <w:vAlign w:val="center"/>
          </w:tcPr>
          <w:p>
            <w:pPr>
              <w:ind w:firstLine="220" w:firstLineChars="100"/>
              <w:jc w:val="right"/>
              <w:rPr>
                <w:rFonts w:ascii="宋体" w:hAnsi="宋体" w:cs="宋体"/>
                <w:color w:val="000000"/>
                <w:sz w:val="22"/>
              </w:rPr>
            </w:pPr>
            <w:r>
              <w:rPr>
                <w:rFonts w:hint="eastAsia"/>
                <w:color w:val="000000"/>
                <w:sz w:val="22"/>
              </w:rPr>
              <w:t>10</w:t>
            </w:r>
          </w:p>
        </w:tc>
        <w:tc>
          <w:tcPr>
            <w:tcW w:w="840" w:type="dxa"/>
            <w:noWrap/>
            <w:vAlign w:val="center"/>
          </w:tcPr>
          <w:p>
            <w:pPr>
              <w:ind w:firstLine="220" w:firstLineChars="100"/>
              <w:jc w:val="right"/>
              <w:rPr>
                <w:rFonts w:ascii="宋体" w:hAnsi="宋体" w:cs="宋体"/>
                <w:color w:val="000000"/>
                <w:sz w:val="22"/>
              </w:rPr>
            </w:pPr>
            <w:r>
              <w:rPr>
                <w:rFonts w:hint="eastAsia"/>
                <w:color w:val="000000"/>
                <w:sz w:val="22"/>
              </w:rPr>
              <w:t>0</w:t>
            </w:r>
          </w:p>
        </w:tc>
        <w:tc>
          <w:tcPr>
            <w:tcW w:w="839" w:type="dxa"/>
            <w:noWrap/>
            <w:vAlign w:val="center"/>
          </w:tcPr>
          <w:p>
            <w:pPr>
              <w:ind w:firstLine="220" w:firstLineChars="100"/>
              <w:jc w:val="right"/>
              <w:rPr>
                <w:rFonts w:ascii="宋体" w:hAnsi="宋体" w:cs="宋体"/>
                <w:color w:val="000000"/>
                <w:sz w:val="22"/>
              </w:rPr>
            </w:pPr>
            <w:r>
              <w:rPr>
                <w:rFonts w:hint="eastAsia"/>
                <w:color w:val="000000"/>
                <w:sz w:val="22"/>
              </w:rPr>
              <w:t>100</w:t>
            </w:r>
          </w:p>
        </w:tc>
        <w:tc>
          <w:tcPr>
            <w:tcW w:w="839" w:type="dxa"/>
            <w:gridSpan w:val="2"/>
            <w:noWrap/>
            <w:vAlign w:val="center"/>
          </w:tcPr>
          <w:p>
            <w:pPr>
              <w:ind w:firstLine="220" w:firstLineChars="100"/>
              <w:jc w:val="right"/>
              <w:rPr>
                <w:rFonts w:ascii="宋体" w:hAnsi="宋体" w:cs="宋体"/>
                <w:color w:val="000000"/>
                <w:sz w:val="22"/>
              </w:rPr>
            </w:pPr>
            <w:r>
              <w:rPr>
                <w:rFonts w:hint="eastAsia"/>
                <w:color w:val="000000"/>
                <w:sz w:val="22"/>
              </w:rPr>
              <w:t>20</w:t>
            </w:r>
          </w:p>
        </w:tc>
        <w:tc>
          <w:tcPr>
            <w:tcW w:w="1019" w:type="dxa"/>
            <w:gridSpan w:val="2"/>
            <w:noWrap/>
            <w:vAlign w:val="center"/>
          </w:tcPr>
          <w:p>
            <w:pPr>
              <w:ind w:firstLine="220" w:firstLineChars="100"/>
              <w:jc w:val="right"/>
              <w:rPr>
                <w:rFonts w:ascii="宋体" w:hAnsi="宋体" w:cs="宋体"/>
                <w:color w:val="000000"/>
                <w:sz w:val="22"/>
              </w:rPr>
            </w:pPr>
            <w:r>
              <w:rPr>
                <w:rFonts w:hint="eastAsia"/>
                <w:color w:val="000000"/>
                <w:sz w:val="22"/>
              </w:rPr>
              <w:t>20</w:t>
            </w:r>
          </w:p>
        </w:tc>
        <w:tc>
          <w:tcPr>
            <w:tcW w:w="695" w:type="dxa"/>
            <w:noWrap/>
            <w:vAlign w:val="center"/>
          </w:tcPr>
          <w:p>
            <w:pPr>
              <w:widowControl/>
              <w:snapToGrid w:val="0"/>
              <w:jc w:val="center"/>
              <w:rPr>
                <w:rFonts w:ascii="宋体" w:hAnsi="宋体" w:eastAsia="方正仿宋_GBK" w:cs="方正仿宋_GBK"/>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3" w:hRule="atLeast"/>
          <w:jc w:val="center"/>
        </w:trPr>
        <w:tc>
          <w:tcPr>
            <w:tcW w:w="846" w:type="dxa"/>
            <w:vMerge w:val="continue"/>
            <w:noWrap/>
            <w:vAlign w:val="center"/>
          </w:tcPr>
          <w:p/>
        </w:tc>
        <w:tc>
          <w:tcPr>
            <w:tcW w:w="1687" w:type="dxa"/>
            <w:gridSpan w:val="2"/>
            <w:noWrap/>
            <w:vAlign w:val="center"/>
          </w:tcPr>
          <w:p>
            <w:pPr>
              <w:rPr>
                <w:rFonts w:ascii="宋体" w:hAnsi="宋体" w:cs="宋体"/>
                <w:color w:val="000000"/>
                <w:sz w:val="22"/>
              </w:rPr>
            </w:pPr>
            <w:r>
              <w:rPr>
                <w:rFonts w:hint="eastAsia"/>
                <w:color w:val="000000"/>
                <w:sz w:val="22"/>
              </w:rPr>
              <w:t>服务对象满意度</w:t>
            </w:r>
          </w:p>
        </w:tc>
        <w:tc>
          <w:tcPr>
            <w:tcW w:w="850" w:type="dxa"/>
            <w:noWrap/>
            <w:vAlign w:val="center"/>
          </w:tcPr>
          <w:p>
            <w:pPr>
              <w:ind w:firstLine="220" w:firstLineChars="100"/>
              <w:rPr>
                <w:rFonts w:ascii="宋体" w:hAnsi="宋体" w:cs="宋体"/>
                <w:color w:val="000000"/>
                <w:sz w:val="22"/>
              </w:rPr>
            </w:pPr>
            <w:r>
              <w:rPr>
                <w:rFonts w:hint="eastAsia"/>
                <w:color w:val="000000"/>
                <w:sz w:val="22"/>
              </w:rPr>
              <w:t>%</w:t>
            </w:r>
          </w:p>
        </w:tc>
        <w:tc>
          <w:tcPr>
            <w:tcW w:w="830" w:type="dxa"/>
            <w:noWrap/>
            <w:vAlign w:val="center"/>
          </w:tcPr>
          <w:p>
            <w:pPr>
              <w:ind w:firstLine="220" w:firstLineChars="100"/>
              <w:rPr>
                <w:rFonts w:ascii="宋体" w:hAnsi="宋体" w:cs="宋体"/>
                <w:color w:val="000000"/>
                <w:sz w:val="22"/>
              </w:rPr>
            </w:pPr>
            <w:r>
              <w:rPr>
                <w:rFonts w:hint="eastAsia"/>
                <w:color w:val="000000"/>
                <w:sz w:val="22"/>
              </w:rPr>
              <w:t>≥</w:t>
            </w:r>
          </w:p>
        </w:tc>
        <w:tc>
          <w:tcPr>
            <w:tcW w:w="822" w:type="dxa"/>
            <w:gridSpan w:val="2"/>
            <w:noWrap/>
            <w:vAlign w:val="center"/>
          </w:tcPr>
          <w:p>
            <w:pPr>
              <w:ind w:firstLine="220" w:firstLineChars="100"/>
              <w:jc w:val="right"/>
              <w:rPr>
                <w:rFonts w:ascii="宋体" w:hAnsi="宋体" w:cs="宋体"/>
                <w:color w:val="000000"/>
                <w:sz w:val="22"/>
              </w:rPr>
            </w:pPr>
            <w:r>
              <w:rPr>
                <w:rFonts w:hint="eastAsia"/>
                <w:color w:val="000000"/>
                <w:sz w:val="22"/>
              </w:rPr>
              <w:t>90</w:t>
            </w:r>
          </w:p>
        </w:tc>
        <w:tc>
          <w:tcPr>
            <w:tcW w:w="857" w:type="dxa"/>
            <w:noWrap/>
            <w:vAlign w:val="center"/>
          </w:tcPr>
          <w:p>
            <w:pPr>
              <w:ind w:firstLine="220" w:firstLineChars="100"/>
              <w:jc w:val="right"/>
              <w:rPr>
                <w:rFonts w:ascii="宋体" w:hAnsi="宋体" w:cs="宋体"/>
                <w:color w:val="000000"/>
                <w:sz w:val="22"/>
              </w:rPr>
            </w:pPr>
            <w:r>
              <w:rPr>
                <w:rFonts w:hint="eastAsia"/>
                <w:color w:val="000000"/>
                <w:sz w:val="22"/>
              </w:rPr>
              <w:t>90</w:t>
            </w:r>
          </w:p>
        </w:tc>
        <w:tc>
          <w:tcPr>
            <w:tcW w:w="840" w:type="dxa"/>
            <w:noWrap/>
            <w:vAlign w:val="center"/>
          </w:tcPr>
          <w:p>
            <w:pPr>
              <w:ind w:firstLine="220" w:firstLineChars="100"/>
              <w:jc w:val="right"/>
              <w:rPr>
                <w:rFonts w:ascii="宋体" w:hAnsi="宋体" w:cs="宋体"/>
                <w:color w:val="000000"/>
                <w:sz w:val="22"/>
              </w:rPr>
            </w:pPr>
            <w:r>
              <w:rPr>
                <w:rFonts w:hint="eastAsia"/>
                <w:color w:val="000000"/>
                <w:sz w:val="22"/>
              </w:rPr>
              <w:t>0</w:t>
            </w:r>
          </w:p>
        </w:tc>
        <w:tc>
          <w:tcPr>
            <w:tcW w:w="839" w:type="dxa"/>
            <w:noWrap/>
            <w:vAlign w:val="center"/>
          </w:tcPr>
          <w:p>
            <w:pPr>
              <w:ind w:firstLine="220" w:firstLineChars="100"/>
              <w:jc w:val="right"/>
              <w:rPr>
                <w:rFonts w:ascii="宋体" w:hAnsi="宋体" w:cs="宋体"/>
                <w:color w:val="000000"/>
                <w:sz w:val="22"/>
              </w:rPr>
            </w:pPr>
            <w:r>
              <w:rPr>
                <w:rFonts w:hint="eastAsia"/>
                <w:color w:val="000000"/>
                <w:sz w:val="22"/>
              </w:rPr>
              <w:t>100</w:t>
            </w:r>
          </w:p>
        </w:tc>
        <w:tc>
          <w:tcPr>
            <w:tcW w:w="839" w:type="dxa"/>
            <w:gridSpan w:val="2"/>
            <w:noWrap/>
            <w:vAlign w:val="center"/>
          </w:tcPr>
          <w:p>
            <w:pPr>
              <w:ind w:firstLine="220" w:firstLineChars="100"/>
              <w:jc w:val="right"/>
              <w:rPr>
                <w:rFonts w:ascii="宋体" w:hAnsi="宋体" w:cs="宋体"/>
                <w:color w:val="000000"/>
                <w:sz w:val="22"/>
              </w:rPr>
            </w:pPr>
            <w:r>
              <w:rPr>
                <w:rFonts w:hint="eastAsia"/>
                <w:color w:val="000000"/>
                <w:sz w:val="22"/>
              </w:rPr>
              <w:t>10</w:t>
            </w:r>
          </w:p>
        </w:tc>
        <w:tc>
          <w:tcPr>
            <w:tcW w:w="1019" w:type="dxa"/>
            <w:gridSpan w:val="2"/>
            <w:noWrap/>
            <w:vAlign w:val="center"/>
          </w:tcPr>
          <w:p>
            <w:pPr>
              <w:ind w:firstLine="220" w:firstLineChars="100"/>
              <w:jc w:val="right"/>
              <w:rPr>
                <w:rFonts w:ascii="宋体" w:hAnsi="宋体" w:cs="宋体"/>
                <w:color w:val="000000"/>
                <w:sz w:val="22"/>
              </w:rPr>
            </w:pPr>
            <w:r>
              <w:rPr>
                <w:rFonts w:hint="eastAsia"/>
                <w:color w:val="000000"/>
                <w:sz w:val="22"/>
              </w:rPr>
              <w:t>10</w:t>
            </w:r>
          </w:p>
        </w:tc>
        <w:tc>
          <w:tcPr>
            <w:tcW w:w="695" w:type="dxa"/>
            <w:noWrap/>
            <w:vAlign w:val="center"/>
          </w:tcPr>
          <w:p>
            <w:pPr>
              <w:widowControl/>
              <w:snapToGrid w:val="0"/>
              <w:jc w:val="center"/>
              <w:rPr>
                <w:rFonts w:ascii="宋体" w:hAnsi="宋体" w:eastAsia="方正仿宋_GBK" w:cs="方正仿宋_GBK"/>
                <w:color w:val="000000"/>
                <w:kern w:val="0"/>
                <w:sz w:val="24"/>
                <w:szCs w:val="24"/>
              </w:rPr>
            </w:pPr>
          </w:p>
        </w:tc>
      </w:tr>
    </w:tbl>
    <w:p>
      <w:pPr>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left="643" w:firstLine="643" w:firstLineChars="200"/>
        <w:jc w:val="both"/>
        <w:textAlignment w:val="auto"/>
        <w:rPr>
          <w:rFonts w:ascii="宋体" w:hAnsi="宋体" w:eastAsia="方正仿宋_GBK" w:cs="方正仿宋_GBK"/>
          <w:b/>
          <w:kern w:val="0"/>
          <w:sz w:val="32"/>
          <w:szCs w:val="32"/>
        </w:rPr>
      </w:pPr>
      <w:r>
        <w:rPr>
          <w:rFonts w:hint="eastAsia" w:ascii="宋体" w:hAnsi="宋体" w:eastAsia="方正仿宋_GBK" w:cs="方正仿宋_GBK"/>
          <w:b/>
          <w:kern w:val="0"/>
          <w:sz w:val="32"/>
          <w:szCs w:val="32"/>
        </w:rPr>
        <w:t>2.绩效自评报告或案例</w:t>
      </w:r>
    </w:p>
    <w:p>
      <w:pPr>
        <w:pStyle w:val="9"/>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left="643" w:firstLine="640" w:firstLineChars="200"/>
        <w:jc w:val="both"/>
        <w:textAlignment w:val="auto"/>
        <w:rPr>
          <w:rFonts w:ascii="宋体" w:hAnsi="宋体" w:eastAsia="方正仿宋_GBK" w:cs="方正仿宋_GBK"/>
          <w:b/>
          <w:kern w:val="0"/>
          <w:sz w:val="32"/>
          <w:szCs w:val="32"/>
        </w:rPr>
      </w:pPr>
      <w:r>
        <w:rPr>
          <w:rFonts w:hint="eastAsia" w:ascii="宋体" w:hAnsi="宋体" w:eastAsia="方正仿宋_GBK" w:cs="方正仿宋_GBK"/>
          <w:kern w:val="0"/>
          <w:sz w:val="32"/>
          <w:szCs w:val="32"/>
        </w:rPr>
        <w:t>本单位无此事项。</w:t>
      </w:r>
    </w:p>
    <w:p>
      <w:pPr>
        <w:pStyle w:val="9"/>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left="643" w:firstLine="643" w:firstLineChars="200"/>
        <w:jc w:val="both"/>
        <w:textAlignment w:val="auto"/>
        <w:rPr>
          <w:rFonts w:ascii="宋体" w:hAnsi="宋体" w:eastAsia="方正仿宋_GBK" w:cs="方正仿宋_GBK"/>
          <w:b/>
          <w:bCs/>
          <w:color w:val="000000"/>
          <w:kern w:val="0"/>
          <w:sz w:val="32"/>
          <w:szCs w:val="32"/>
        </w:rPr>
      </w:pPr>
      <w:r>
        <w:rPr>
          <w:rFonts w:hint="eastAsia" w:ascii="宋体" w:hAnsi="宋体" w:eastAsia="方正仿宋_GBK" w:cs="方正仿宋_GBK"/>
          <w:b/>
          <w:bCs/>
          <w:color w:val="000000"/>
          <w:kern w:val="0"/>
          <w:sz w:val="32"/>
          <w:szCs w:val="32"/>
        </w:rPr>
        <w:t>3.关于绩效自评结果的说明</w:t>
      </w:r>
    </w:p>
    <w:p>
      <w:pPr>
        <w:pStyle w:val="9"/>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firstLine="640" w:firstLineChars="200"/>
        <w:jc w:val="both"/>
        <w:textAlignment w:val="auto"/>
        <w:outlineLvl w:val="1"/>
        <w:rPr>
          <w:rFonts w:hint="eastAsia" w:ascii="宋体" w:hAnsi="宋体" w:eastAsia="方正仿宋_GBK" w:cs="方正仿宋_GBK"/>
          <w:sz w:val="32"/>
          <w:lang w:val="en-US" w:eastAsia="zh-CN"/>
        </w:rPr>
      </w:pPr>
      <w:r>
        <w:rPr>
          <w:rFonts w:hint="eastAsia" w:ascii="宋体" w:hAnsi="宋体" w:eastAsia="方正仿宋_GBK" w:cs="方正仿宋_GBK"/>
          <w:color w:val="auto"/>
          <w:kern w:val="0"/>
          <w:sz w:val="32"/>
          <w:szCs w:val="32"/>
          <w:lang w:eastAsia="zh-CN"/>
        </w:rPr>
        <w:t>部门整体绩效目标基本达到年初绩效评估水平。由于</w:t>
      </w:r>
      <w:r>
        <w:rPr>
          <w:rFonts w:hint="eastAsia" w:ascii="宋体" w:hAnsi="宋体" w:eastAsia="方正仿宋_GBK" w:cs="方正仿宋_GBK"/>
          <w:sz w:val="32"/>
        </w:rPr>
        <w:t>当年人员增加、补发以前年度津补贴及</w:t>
      </w:r>
      <w:r>
        <w:rPr>
          <w:rFonts w:hint="eastAsia" w:ascii="宋体" w:hAnsi="宋体" w:eastAsia="方正仿宋_GBK" w:cs="方正仿宋_GBK"/>
          <w:sz w:val="32"/>
          <w:lang w:eastAsia="zh-CN"/>
        </w:rPr>
        <w:t>事业人员</w:t>
      </w:r>
      <w:r>
        <w:rPr>
          <w:rFonts w:hint="eastAsia" w:ascii="宋体" w:hAnsi="宋体" w:eastAsia="方正仿宋_GBK" w:cs="方正仿宋_GBK"/>
          <w:sz w:val="32"/>
        </w:rPr>
        <w:t>社会保障缴费基数增加</w:t>
      </w:r>
      <w:r>
        <w:rPr>
          <w:rFonts w:hint="eastAsia" w:ascii="宋体" w:hAnsi="宋体" w:eastAsia="方正仿宋_GBK" w:cs="方正仿宋_GBK"/>
          <w:sz w:val="32"/>
          <w:lang w:eastAsia="zh-CN"/>
        </w:rPr>
        <w:t>等原因</w:t>
      </w:r>
      <w:r>
        <w:rPr>
          <w:rFonts w:hint="eastAsia" w:ascii="宋体" w:hAnsi="宋体" w:eastAsia="方正仿宋_GBK" w:cs="方正仿宋_GBK"/>
          <w:sz w:val="32"/>
        </w:rPr>
        <w:t>，基本支出</w:t>
      </w:r>
      <w:r>
        <w:rPr>
          <w:rFonts w:hint="eastAsia" w:ascii="宋体" w:hAnsi="宋体" w:eastAsia="方正仿宋_GBK" w:cs="方正仿宋_GBK"/>
          <w:sz w:val="32"/>
          <w:lang w:eastAsia="zh-CN"/>
        </w:rPr>
        <w:t>比年初预算</w:t>
      </w:r>
      <w:r>
        <w:rPr>
          <w:rFonts w:hint="eastAsia" w:ascii="宋体" w:hAnsi="宋体" w:eastAsia="方正仿宋_GBK" w:cs="方正仿宋_GBK"/>
          <w:sz w:val="32"/>
        </w:rPr>
        <w:t>增加150.86万元；</w:t>
      </w:r>
      <w:r>
        <w:rPr>
          <w:rFonts w:hint="eastAsia" w:ascii="宋体" w:hAnsi="宋体" w:eastAsia="方正仿宋_GBK" w:cs="方正仿宋_GBK"/>
          <w:sz w:val="32"/>
          <w:lang w:eastAsia="zh-CN"/>
        </w:rPr>
        <w:t>且因</w:t>
      </w:r>
      <w:r>
        <w:rPr>
          <w:rFonts w:hint="eastAsia" w:ascii="宋体" w:hAnsi="宋体" w:eastAsia="方正仿宋_GBK" w:cs="方正仿宋_GBK"/>
          <w:sz w:val="32"/>
        </w:rPr>
        <w:t>当年新增全市“互联网+执法”行动、“柴油一件事”平台运用前期准备工作及全区自然灾害综合应急演练等工作，增加了</w:t>
      </w:r>
      <w:r>
        <w:rPr>
          <w:rFonts w:hint="eastAsia" w:ascii="宋体" w:hAnsi="宋体" w:eastAsia="方正仿宋_GBK" w:cs="方正仿宋_GBK"/>
          <w:sz w:val="32"/>
          <w:lang w:eastAsia="zh-CN"/>
        </w:rPr>
        <w:t>项目</w:t>
      </w:r>
      <w:r>
        <w:rPr>
          <w:rFonts w:hint="eastAsia" w:ascii="宋体" w:hAnsi="宋体" w:eastAsia="方正仿宋_GBK" w:cs="方正仿宋_GBK"/>
          <w:sz w:val="32"/>
        </w:rPr>
        <w:t>资金620.39万元</w:t>
      </w:r>
      <w:r>
        <w:rPr>
          <w:rFonts w:hint="eastAsia" w:ascii="宋体" w:hAnsi="宋体" w:eastAsia="方正仿宋_GBK" w:cs="方正仿宋_GBK"/>
          <w:sz w:val="32"/>
          <w:lang w:eastAsia="zh-CN"/>
        </w:rPr>
        <w:t>，全年调整预算数为</w:t>
      </w:r>
      <w:r>
        <w:rPr>
          <w:rFonts w:hint="eastAsia" w:ascii="宋体" w:hAnsi="宋体" w:eastAsia="方正仿宋_GBK" w:cs="方正仿宋_GBK"/>
          <w:sz w:val="32"/>
          <w:lang w:val="en-US" w:eastAsia="zh-CN"/>
        </w:rPr>
        <w:t>3519.80万元。自储自用柴油软件开发属江津区政府“重庆数字建设柴油一件事”，为保障项目进度，年底专立一个项目指标做了采购计划，使保障金采购占比份额变大，致使该项绩效指标未能得分。</w:t>
      </w:r>
    </w:p>
    <w:p>
      <w:pPr>
        <w:pStyle w:val="9"/>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firstLine="640" w:firstLineChars="200"/>
        <w:jc w:val="both"/>
        <w:textAlignment w:val="auto"/>
        <w:outlineLvl w:val="1"/>
        <w:rPr>
          <w:rFonts w:hint="default" w:ascii="宋体" w:hAnsi="宋体" w:eastAsia="方正仿宋_GBK" w:cs="方正仿宋_GBK"/>
          <w:sz w:val="32"/>
          <w:lang w:val="en-US" w:eastAsia="zh-CN"/>
        </w:rPr>
      </w:pPr>
      <w:r>
        <w:rPr>
          <w:rFonts w:hint="eastAsia" w:ascii="宋体" w:hAnsi="宋体" w:eastAsia="方正仿宋_GBK" w:cs="方正仿宋_GBK"/>
          <w:sz w:val="32"/>
          <w:lang w:val="en-US" w:eastAsia="zh-CN"/>
        </w:rPr>
        <w:t>“应急救援经费”为部门二级项目，该资金用于保障物资储备仓库正常运行，应急装备和救灾物资在应对突发事件时能正常使用；按相关法规要求进行演练；保障应急救援各项工作能顺利开展。2024年开展应急救援36次，出动救援人数413人次、装备1975台（套），转移受灾人口849人，较好的完成了全区的各项应急救援工作，保障了社会安定、人民安全。年末项目绩效评价达到年初预设指标。</w:t>
      </w:r>
    </w:p>
    <w:p>
      <w:pPr>
        <w:pStyle w:val="9"/>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firstLine="640" w:firstLineChars="200"/>
        <w:jc w:val="both"/>
        <w:textAlignment w:val="auto"/>
        <w:outlineLvl w:val="1"/>
        <w:rPr>
          <w:rFonts w:ascii="宋体" w:hAnsi="宋体" w:eastAsia="方正楷体_GBK" w:cs="方正楷体_GBK"/>
          <w:color w:val="333333"/>
          <w:sz w:val="32"/>
          <w:szCs w:val="32"/>
        </w:rPr>
      </w:pPr>
      <w:r>
        <w:rPr>
          <w:rFonts w:hint="eastAsia" w:ascii="宋体" w:hAnsi="宋体" w:eastAsia="方正楷体_GBK" w:cs="方正楷体_GBK"/>
          <w:color w:val="333333"/>
          <w:sz w:val="32"/>
          <w:szCs w:val="32"/>
        </w:rPr>
        <w:t>（三）重点绩效评价结果</w:t>
      </w:r>
    </w:p>
    <w:p>
      <w:pPr>
        <w:pStyle w:val="9"/>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firstLine="640" w:firstLineChars="200"/>
        <w:jc w:val="both"/>
        <w:textAlignment w:val="auto"/>
        <w:rPr>
          <w:rFonts w:ascii="宋体" w:hAnsi="宋体" w:eastAsia="方正仿宋_GBK" w:cs="方正仿宋_GBK"/>
          <w:kern w:val="0"/>
          <w:sz w:val="32"/>
          <w:szCs w:val="32"/>
        </w:rPr>
      </w:pPr>
      <w:r>
        <w:rPr>
          <w:rFonts w:hint="eastAsia" w:ascii="宋体" w:hAnsi="宋体" w:eastAsia="方正仿宋_GBK" w:cs="方正仿宋_GBK"/>
          <w:kern w:val="0"/>
          <w:sz w:val="32"/>
          <w:szCs w:val="32"/>
        </w:rPr>
        <w:t>本部门无此事项。</w:t>
      </w:r>
    </w:p>
    <w:p>
      <w:pPr>
        <w:pStyle w:val="9"/>
        <w:keepNext w:val="0"/>
        <w:keepLines w:val="0"/>
        <w:pageBreakBefore w:val="0"/>
        <w:widowControl w:val="0"/>
        <w:numPr>
          <w:ilvl w:val="0"/>
          <w:numId w:val="2"/>
        </w:numPr>
        <w:tabs>
          <w:tab w:val="center" w:pos="4153"/>
          <w:tab w:val="left" w:pos="7275"/>
        </w:tabs>
        <w:kinsoku/>
        <w:wordWrap/>
        <w:overflowPunct/>
        <w:topLinePunct w:val="0"/>
        <w:autoSpaceDE/>
        <w:autoSpaceDN/>
        <w:bidi w:val="0"/>
        <w:adjustRightInd/>
        <w:snapToGrid/>
        <w:spacing w:line="579" w:lineRule="exact"/>
        <w:ind w:firstLine="640" w:firstLineChars="200"/>
        <w:jc w:val="both"/>
        <w:textAlignment w:val="auto"/>
        <w:outlineLvl w:val="0"/>
        <w:rPr>
          <w:rFonts w:ascii="宋体" w:hAnsi="宋体" w:eastAsia="方正黑体_GBK" w:cs="方正黑体_GBK"/>
          <w:sz w:val="32"/>
          <w:szCs w:val="32"/>
        </w:rPr>
      </w:pPr>
      <w:r>
        <w:rPr>
          <w:rFonts w:hint="eastAsia" w:ascii="宋体" w:hAnsi="宋体" w:eastAsia="方正黑体_GBK" w:cs="方正黑体_GBK"/>
          <w:sz w:val="32"/>
          <w:szCs w:val="32"/>
        </w:rPr>
        <w:t>专业名词解释</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ascii="宋体" w:hAnsi="宋体" w:eastAsia="方正仿宋_GBK" w:cs="方正仿宋_GBK"/>
          <w:sz w:val="32"/>
          <w:szCs w:val="32"/>
        </w:rPr>
      </w:pPr>
      <w:r>
        <w:rPr>
          <w:rFonts w:hint="eastAsia" w:ascii="宋体" w:hAnsi="宋体" w:eastAsia="方正仿宋_GBK" w:cs="方正仿宋_GBK"/>
          <w:sz w:val="32"/>
          <w:szCs w:val="32"/>
        </w:rPr>
        <w:t>（一）财政拨款收入：指本年度从本级财政部门取得的财政拨款，包括一般公共预算财政拨款和政府性基金预算财政拨款。</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ascii="宋体" w:hAnsi="宋体" w:eastAsia="方正仿宋_GBK" w:cs="方正仿宋_GBK"/>
          <w:sz w:val="32"/>
          <w:szCs w:val="32"/>
        </w:rPr>
      </w:pPr>
      <w:r>
        <w:rPr>
          <w:rFonts w:hint="eastAsia" w:ascii="宋体" w:hAnsi="宋体" w:eastAsia="方正仿宋_GBK" w:cs="方正仿宋_GBK"/>
          <w:sz w:val="32"/>
          <w:szCs w:val="32"/>
        </w:rPr>
        <w:t>（二）年初结转和结余：指部门上年结转本年使用的基本支出结转、项目支出结转和结余、经营结余。</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ascii="宋体" w:hAnsi="宋体" w:eastAsia="方正仿宋_GBK" w:cs="方正仿宋_GBK"/>
          <w:sz w:val="32"/>
          <w:szCs w:val="32"/>
        </w:rPr>
      </w:pPr>
      <w:r>
        <w:rPr>
          <w:rFonts w:hint="eastAsia" w:ascii="宋体" w:hAnsi="宋体" w:eastAsia="方正仿宋_GBK" w:cs="方正仿宋_GBK"/>
          <w:sz w:val="32"/>
          <w:szCs w:val="32"/>
        </w:rPr>
        <w:t>（三）年末结转和结余：指部门结转下年的基本支出结转、项目支出结转和结余、经营结余。</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ascii="宋体" w:hAnsi="宋体" w:eastAsia="方正仿宋_GBK" w:cs="方正仿宋_GBK"/>
          <w:sz w:val="32"/>
          <w:szCs w:val="32"/>
        </w:rPr>
      </w:pPr>
      <w:r>
        <w:rPr>
          <w:rFonts w:hint="eastAsia" w:ascii="宋体" w:hAnsi="宋体" w:eastAsia="方正仿宋_GBK" w:cs="方正仿宋_GBK"/>
          <w:sz w:val="32"/>
          <w:szCs w:val="32"/>
        </w:rPr>
        <w:t>（四）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ascii="宋体" w:hAnsi="宋体" w:eastAsia="方正仿宋_GBK" w:cs="方正仿宋_GBK"/>
          <w:sz w:val="32"/>
          <w:szCs w:val="32"/>
        </w:rPr>
      </w:pPr>
      <w:r>
        <w:rPr>
          <w:rFonts w:hint="eastAsia" w:ascii="宋体" w:hAnsi="宋体" w:eastAsia="方正仿宋_GBK" w:cs="方正仿宋_GBK"/>
          <w:sz w:val="32"/>
          <w:szCs w:val="32"/>
        </w:rPr>
        <w:t>（五）项目支出：指在基本支出之外为完成特定行政任务和事业发展目标所发生的支出。</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ascii="宋体" w:hAnsi="宋体" w:eastAsia="方正仿宋_GBK" w:cs="方正仿宋_GBK"/>
          <w:sz w:val="32"/>
          <w:szCs w:val="32"/>
        </w:rPr>
      </w:pPr>
      <w:r>
        <w:rPr>
          <w:rFonts w:hint="eastAsia" w:ascii="宋体" w:hAnsi="宋体" w:eastAsia="方正仿宋_GBK" w:cs="方正仿宋_GBK"/>
          <w:sz w:val="32"/>
          <w:szCs w:val="32"/>
        </w:rPr>
        <w:t>（六）“三公”经费：指用一般公共预算财政拨款安排的因公出国（境）费、公务用车购置及运行维护费、公务接待费。其中，因公出国（境）费反映部门公务出国（境）的国际旅费、国外城市间交通费、住宿费、伙食费、培训费、公杂费等支出；公务用车购置费反映部门公务用车购置支出（含车辆购置税）；公务用车运行维护费反映部门按规定保留的公务用车燃料费、维修费、过路过桥费、保险费、安全奖励费用等支出；公务接待费反映部门按规定开支的各类公务接待（含外宾接待）支出。</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ascii="宋体" w:hAnsi="宋体" w:eastAsia="方正仿宋_GBK" w:cs="方正仿宋_GBK"/>
          <w:sz w:val="32"/>
          <w:szCs w:val="32"/>
        </w:rPr>
      </w:pPr>
      <w:r>
        <w:rPr>
          <w:rFonts w:hint="eastAsia" w:ascii="宋体" w:hAnsi="宋体" w:eastAsia="方正仿宋_GBK" w:cs="方正仿宋_GBK"/>
          <w:sz w:val="32"/>
          <w:szCs w:val="32"/>
        </w:rPr>
        <w:t>（七）机关运行经费：为保障行政部门（含参照公务员法管理的事业部门）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ascii="宋体" w:hAnsi="宋体" w:eastAsia="方正仿宋_GBK" w:cs="方正仿宋_GBK"/>
          <w:sz w:val="32"/>
          <w:szCs w:val="32"/>
        </w:rPr>
      </w:pPr>
      <w:r>
        <w:rPr>
          <w:rFonts w:hint="eastAsia" w:ascii="宋体" w:hAnsi="宋体" w:eastAsia="方正仿宋_GBK" w:cs="方正仿宋_GBK"/>
          <w:sz w:val="32"/>
          <w:szCs w:val="32"/>
        </w:rPr>
        <w:t>（八）工资福利支出（支出经济分类科目类级）：反映部门开支的在职职工和编制外长期聘用人员的各类劳动报酬，以及为上述人员缴纳的各项社会保险费等。</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ascii="宋体" w:hAnsi="宋体" w:eastAsia="方正仿宋_GBK" w:cs="方正仿宋_GBK"/>
          <w:sz w:val="32"/>
          <w:szCs w:val="32"/>
        </w:rPr>
      </w:pPr>
      <w:r>
        <w:rPr>
          <w:rFonts w:hint="eastAsia" w:ascii="宋体" w:hAnsi="宋体" w:eastAsia="方正仿宋_GBK" w:cs="方正仿宋_GBK"/>
          <w:sz w:val="32"/>
          <w:szCs w:val="32"/>
        </w:rPr>
        <w:t>（九）商品和服务支出（支出经济分类科目类级）：反映部门购买商品和服务的支出（不包括用于购置固定资产的支出、战略性和应急储备支出）。</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（十）对个人和家庭的补助（支出经济分类科目类级）：反映用于对个人和家庭的补助支出。</w:t>
      </w:r>
    </w:p>
    <w:p>
      <w:pPr>
        <w:pStyle w:val="9"/>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firstLine="640" w:firstLineChars="200"/>
        <w:jc w:val="both"/>
        <w:textAlignment w:val="auto"/>
        <w:rPr>
          <w:rFonts w:ascii="宋体" w:hAnsi="宋体" w:eastAsia="方正仿宋_GBK" w:cs="方正仿宋_GBK"/>
          <w:sz w:val="32"/>
          <w:szCs w:val="32"/>
        </w:rPr>
      </w:pPr>
      <w:r>
        <w:rPr>
          <w:rFonts w:hint="eastAsia" w:ascii="宋体" w:hAnsi="宋体" w:eastAsia="方正仿宋_GBK" w:cs="方正仿宋_GBK"/>
          <w:sz w:val="32"/>
          <w:szCs w:val="32"/>
        </w:rPr>
        <w:t>（十一）其他资本性支出（支出经济分类科目类级）：反映非各级发展与改革单位集中安排的用于购置固定资产、战略性和应急性储备、土地和无形资产，以及构建基础设施、大型修缮和财政支持企业更新改造所发生的支出。</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ascii="宋体" w:hAnsi="宋体" w:eastAsia="方正仿宋_GBK" w:cs="方正仿宋_GBK"/>
          <w:sz w:val="32"/>
          <w:szCs w:val="32"/>
        </w:rPr>
      </w:pPr>
    </w:p>
    <w:p>
      <w:pPr>
        <w:pStyle w:val="9"/>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firstLine="640" w:firstLineChars="200"/>
        <w:jc w:val="both"/>
        <w:textAlignment w:val="auto"/>
        <w:outlineLvl w:val="0"/>
        <w:rPr>
          <w:rFonts w:ascii="宋体" w:hAnsi="宋体" w:eastAsia="方正黑体_GBK" w:cs="方正黑体_GBK"/>
          <w:sz w:val="32"/>
          <w:szCs w:val="32"/>
        </w:rPr>
      </w:pPr>
      <w:r>
        <w:rPr>
          <w:rFonts w:hint="eastAsia" w:ascii="宋体" w:hAnsi="宋体" w:eastAsia="方正黑体_GBK" w:cs="方正黑体_GBK"/>
          <w:sz w:val="32"/>
          <w:szCs w:val="32"/>
        </w:rPr>
        <w:t>七、决算公开联系方式</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9" w:lineRule="exact"/>
        <w:ind w:firstLine="640" w:firstLineChars="200"/>
        <w:jc w:val="both"/>
        <w:textAlignment w:val="auto"/>
        <w:rPr>
          <w:rFonts w:ascii="宋体" w:hAnsi="宋体" w:eastAsia="方正仿宋_GBK" w:cs="方正仿宋_GBK"/>
          <w:sz w:val="32"/>
          <w:szCs w:val="32"/>
        </w:rPr>
      </w:pPr>
      <w:r>
        <w:rPr>
          <w:rFonts w:hint="eastAsia" w:ascii="宋体" w:hAnsi="宋体" w:eastAsia="方正仿宋_GBK" w:cs="方正仿宋_GBK"/>
          <w:sz w:val="32"/>
          <w:szCs w:val="32"/>
        </w:rPr>
        <w:t>本部门决算公开信息反馈和联系方式：</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9" w:lineRule="exact"/>
        <w:ind w:firstLine="640" w:firstLineChars="200"/>
        <w:jc w:val="both"/>
        <w:textAlignment w:val="auto"/>
        <w:rPr>
          <w:rFonts w:ascii="宋体" w:hAnsi="宋体" w:eastAsia="方正仿宋_GBK" w:cs="方正仿宋_GBK"/>
          <w:sz w:val="32"/>
          <w:szCs w:val="32"/>
        </w:rPr>
      </w:pPr>
      <w:r>
        <w:rPr>
          <w:rFonts w:hint="eastAsia" w:ascii="宋体" w:hAnsi="宋体" w:eastAsia="方正仿宋_GBK" w:cs="方正仿宋_GBK"/>
          <w:sz w:val="32"/>
          <w:szCs w:val="32"/>
        </w:rPr>
        <w:t>联系人：李剑冰    联系电话：13637711699</w:t>
      </w:r>
    </w:p>
    <w:sectPr>
      <w:footerReference r:id="rId3" w:type="default"/>
      <w:footerReference r:id="rId4" w:type="even"/>
      <w:pgSz w:w="11906" w:h="16838"/>
      <w:pgMar w:top="1587" w:right="1474" w:bottom="1474" w:left="1587" w:header="851" w:footer="147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2000000000000000000"/>
    <w:charset w:val="86"/>
    <w:family w:val="script"/>
    <w:pitch w:val="default"/>
    <w:sig w:usb0="00000001" w:usb1="0800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方正黑体_GBK">
    <w:panose1 w:val="02000000000000000000"/>
    <w:charset w:val="86"/>
    <w:family w:val="script"/>
    <w:pitch w:val="default"/>
    <w:sig w:usb0="00000001" w:usb1="08000000" w:usb2="00000000" w:usb3="00000000" w:csb0="00040000" w:csb1="00000000"/>
  </w:font>
  <w:font w:name="方正楷体_GBK">
    <w:panose1 w:val="02000000000000000000"/>
    <w:charset w:val="86"/>
    <w:family w:val="script"/>
    <w:pitch w:val="default"/>
    <w:sig w:usb0="00000001" w:usb1="08000000" w:usb2="00000000" w:usb3="00000000" w:csb0="00040000" w:csb1="00000000"/>
  </w:font>
  <w:font w:name="仿宋_GB2312">
    <w:altName w:val="方正仿宋_GBK"/>
    <w:panose1 w:val="00000000000000000000"/>
    <w:charset w:val="86"/>
    <w:family w:val="roman"/>
    <w:pitch w:val="default"/>
    <w:sig w:usb0="00000000" w:usb1="00000000" w:usb2="0000001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pPr>
    <w:r>
      <w:rPr>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13</w:t>
    </w:r>
    <w:r>
      <w:rPr>
        <w:sz w:val="28"/>
        <w:szCs w:val="28"/>
      </w:rPr>
      <w:fldChar w:fldCharType="end"/>
    </w:r>
    <w:r>
      <w:rPr>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12</w:t>
    </w:r>
    <w:r>
      <w:rPr>
        <w:sz w:val="28"/>
        <w:szCs w:val="28"/>
      </w:rPr>
      <w:fldChar w:fldCharType="end"/>
    </w:r>
    <w:r>
      <w:rPr>
        <w:sz w:val="28"/>
        <w:szCs w:val="28"/>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15FB01"/>
    <w:multiLevelType w:val="singleLevel"/>
    <w:tmpl w:val="BE15FB01"/>
    <w:lvl w:ilvl="0" w:tentative="0">
      <w:start w:val="6"/>
      <w:numFmt w:val="chineseCounting"/>
      <w:suff w:val="nothing"/>
      <w:lvlText w:val="%1、"/>
      <w:lvlJc w:val="left"/>
      <w:rPr>
        <w:rFonts w:hint="eastAsia"/>
      </w:rPr>
    </w:lvl>
  </w:abstractNum>
  <w:abstractNum w:abstractNumId="1">
    <w:nsid w:val="C7DC43F0"/>
    <w:multiLevelType w:val="singleLevel"/>
    <w:tmpl w:val="C7DC43F0"/>
    <w:lvl w:ilvl="0" w:tentative="0">
      <w:start w:val="1"/>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bordersDoNotSurroundHeader w:val="false"/>
  <w:bordersDoNotSurroundFooter w:val="false"/>
  <w:documentProtection w:enforcement="0"/>
  <w:defaultTabStop w:val="420"/>
  <w:evenAndOddHeaders w:val="true"/>
  <w:drawingGridHorizontalSpacing w:val="21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1"/>
  </w:compat>
  <w:rsids>
    <w:rsidRoot w:val="00607E12"/>
    <w:rsid w:val="0000051E"/>
    <w:rsid w:val="00001D33"/>
    <w:rsid w:val="000028C9"/>
    <w:rsid w:val="000155FC"/>
    <w:rsid w:val="000175BF"/>
    <w:rsid w:val="0001772A"/>
    <w:rsid w:val="00021540"/>
    <w:rsid w:val="00026535"/>
    <w:rsid w:val="00027CBA"/>
    <w:rsid w:val="00030BD4"/>
    <w:rsid w:val="0003485A"/>
    <w:rsid w:val="00034F55"/>
    <w:rsid w:val="000420EA"/>
    <w:rsid w:val="000427E2"/>
    <w:rsid w:val="00043D2E"/>
    <w:rsid w:val="00047C1B"/>
    <w:rsid w:val="00053EE9"/>
    <w:rsid w:val="00054D43"/>
    <w:rsid w:val="00054DCF"/>
    <w:rsid w:val="00054EB7"/>
    <w:rsid w:val="0005574C"/>
    <w:rsid w:val="0006070C"/>
    <w:rsid w:val="000639CF"/>
    <w:rsid w:val="00065200"/>
    <w:rsid w:val="00067A09"/>
    <w:rsid w:val="00073F65"/>
    <w:rsid w:val="000842FF"/>
    <w:rsid w:val="000A2CFA"/>
    <w:rsid w:val="000B27F1"/>
    <w:rsid w:val="000B3E51"/>
    <w:rsid w:val="000C15A3"/>
    <w:rsid w:val="000C7FE9"/>
    <w:rsid w:val="000D5121"/>
    <w:rsid w:val="000E0FCA"/>
    <w:rsid w:val="000E44AE"/>
    <w:rsid w:val="000E45ED"/>
    <w:rsid w:val="00100BE4"/>
    <w:rsid w:val="00102024"/>
    <w:rsid w:val="001075E9"/>
    <w:rsid w:val="0011013E"/>
    <w:rsid w:val="0011190A"/>
    <w:rsid w:val="001136EF"/>
    <w:rsid w:val="00120138"/>
    <w:rsid w:val="00120AC5"/>
    <w:rsid w:val="001225CF"/>
    <w:rsid w:val="00122802"/>
    <w:rsid w:val="00122A47"/>
    <w:rsid w:val="00130AB7"/>
    <w:rsid w:val="00130F55"/>
    <w:rsid w:val="001330DE"/>
    <w:rsid w:val="00134BAE"/>
    <w:rsid w:val="00141657"/>
    <w:rsid w:val="00141E8D"/>
    <w:rsid w:val="00146457"/>
    <w:rsid w:val="00147151"/>
    <w:rsid w:val="001570CA"/>
    <w:rsid w:val="001600A8"/>
    <w:rsid w:val="0016440F"/>
    <w:rsid w:val="00167113"/>
    <w:rsid w:val="00170AB6"/>
    <w:rsid w:val="001733C6"/>
    <w:rsid w:val="001760D0"/>
    <w:rsid w:val="00176E9E"/>
    <w:rsid w:val="00177282"/>
    <w:rsid w:val="0017754D"/>
    <w:rsid w:val="00177DDE"/>
    <w:rsid w:val="0018055E"/>
    <w:rsid w:val="0018417C"/>
    <w:rsid w:val="00186D29"/>
    <w:rsid w:val="00191922"/>
    <w:rsid w:val="00196B3B"/>
    <w:rsid w:val="001B4EBF"/>
    <w:rsid w:val="001D1F56"/>
    <w:rsid w:val="001D2188"/>
    <w:rsid w:val="001D2D97"/>
    <w:rsid w:val="001D39FC"/>
    <w:rsid w:val="001D469D"/>
    <w:rsid w:val="001D53A5"/>
    <w:rsid w:val="001E4338"/>
    <w:rsid w:val="001F35D7"/>
    <w:rsid w:val="001F3D17"/>
    <w:rsid w:val="001F6342"/>
    <w:rsid w:val="001F69D5"/>
    <w:rsid w:val="00203926"/>
    <w:rsid w:val="00206DF8"/>
    <w:rsid w:val="002074F7"/>
    <w:rsid w:val="002101FA"/>
    <w:rsid w:val="00213778"/>
    <w:rsid w:val="002148AC"/>
    <w:rsid w:val="00222B01"/>
    <w:rsid w:val="002247FE"/>
    <w:rsid w:val="00224B1E"/>
    <w:rsid w:val="00242193"/>
    <w:rsid w:val="00251064"/>
    <w:rsid w:val="00251D58"/>
    <w:rsid w:val="00252306"/>
    <w:rsid w:val="00255B14"/>
    <w:rsid w:val="00262C07"/>
    <w:rsid w:val="00271994"/>
    <w:rsid w:val="002726B1"/>
    <w:rsid w:val="00280812"/>
    <w:rsid w:val="002817B6"/>
    <w:rsid w:val="00283F54"/>
    <w:rsid w:val="00285CEF"/>
    <w:rsid w:val="00290EE3"/>
    <w:rsid w:val="002970E2"/>
    <w:rsid w:val="002A64DE"/>
    <w:rsid w:val="002B53DA"/>
    <w:rsid w:val="002B6DD1"/>
    <w:rsid w:val="002C1EC9"/>
    <w:rsid w:val="002C3116"/>
    <w:rsid w:val="002C7F37"/>
    <w:rsid w:val="002D0665"/>
    <w:rsid w:val="002D284A"/>
    <w:rsid w:val="002D60ED"/>
    <w:rsid w:val="002E2E5B"/>
    <w:rsid w:val="002F0CF5"/>
    <w:rsid w:val="002F5ADD"/>
    <w:rsid w:val="00302486"/>
    <w:rsid w:val="00314CB4"/>
    <w:rsid w:val="003178A1"/>
    <w:rsid w:val="00317958"/>
    <w:rsid w:val="003202F9"/>
    <w:rsid w:val="0032073C"/>
    <w:rsid w:val="00322ADF"/>
    <w:rsid w:val="00324B31"/>
    <w:rsid w:val="0033105A"/>
    <w:rsid w:val="00333F69"/>
    <w:rsid w:val="00334EB0"/>
    <w:rsid w:val="0034207B"/>
    <w:rsid w:val="00344BF5"/>
    <w:rsid w:val="003450C0"/>
    <w:rsid w:val="00346494"/>
    <w:rsid w:val="00351DAC"/>
    <w:rsid w:val="00354334"/>
    <w:rsid w:val="00355F37"/>
    <w:rsid w:val="00362BC8"/>
    <w:rsid w:val="00363DA8"/>
    <w:rsid w:val="0036500E"/>
    <w:rsid w:val="00371DF3"/>
    <w:rsid w:val="0038006A"/>
    <w:rsid w:val="00391856"/>
    <w:rsid w:val="003961FF"/>
    <w:rsid w:val="00397B03"/>
    <w:rsid w:val="003B21E3"/>
    <w:rsid w:val="003B27FF"/>
    <w:rsid w:val="003B742A"/>
    <w:rsid w:val="003C12FB"/>
    <w:rsid w:val="003C40D4"/>
    <w:rsid w:val="003D081C"/>
    <w:rsid w:val="003D0BFF"/>
    <w:rsid w:val="003D6A6B"/>
    <w:rsid w:val="003F481B"/>
    <w:rsid w:val="003F48D1"/>
    <w:rsid w:val="00401C53"/>
    <w:rsid w:val="00404D9E"/>
    <w:rsid w:val="004135EA"/>
    <w:rsid w:val="00421B19"/>
    <w:rsid w:val="00422B0B"/>
    <w:rsid w:val="00422E47"/>
    <w:rsid w:val="00423211"/>
    <w:rsid w:val="004245F7"/>
    <w:rsid w:val="00426CE4"/>
    <w:rsid w:val="00426FEA"/>
    <w:rsid w:val="00431925"/>
    <w:rsid w:val="00432F81"/>
    <w:rsid w:val="00435247"/>
    <w:rsid w:val="004376FF"/>
    <w:rsid w:val="00441F50"/>
    <w:rsid w:val="004420F5"/>
    <w:rsid w:val="00446207"/>
    <w:rsid w:val="00460B50"/>
    <w:rsid w:val="00462A1B"/>
    <w:rsid w:val="0047102A"/>
    <w:rsid w:val="004767A0"/>
    <w:rsid w:val="00480634"/>
    <w:rsid w:val="00480DBB"/>
    <w:rsid w:val="0048149F"/>
    <w:rsid w:val="00490BD7"/>
    <w:rsid w:val="00492F86"/>
    <w:rsid w:val="00494936"/>
    <w:rsid w:val="004950DE"/>
    <w:rsid w:val="00495471"/>
    <w:rsid w:val="004A6381"/>
    <w:rsid w:val="004A7255"/>
    <w:rsid w:val="004B18A6"/>
    <w:rsid w:val="004B4095"/>
    <w:rsid w:val="004B71FD"/>
    <w:rsid w:val="004B7C9D"/>
    <w:rsid w:val="004C041C"/>
    <w:rsid w:val="004C0428"/>
    <w:rsid w:val="004C1E46"/>
    <w:rsid w:val="004C2BBC"/>
    <w:rsid w:val="004D124F"/>
    <w:rsid w:val="004D20FC"/>
    <w:rsid w:val="004E451B"/>
    <w:rsid w:val="004E758F"/>
    <w:rsid w:val="004F0548"/>
    <w:rsid w:val="004F0AE7"/>
    <w:rsid w:val="004F4BAB"/>
    <w:rsid w:val="004F5255"/>
    <w:rsid w:val="00501E64"/>
    <w:rsid w:val="0050428A"/>
    <w:rsid w:val="0050454F"/>
    <w:rsid w:val="00505D0E"/>
    <w:rsid w:val="00533746"/>
    <w:rsid w:val="00546918"/>
    <w:rsid w:val="005507A2"/>
    <w:rsid w:val="00561338"/>
    <w:rsid w:val="00561975"/>
    <w:rsid w:val="00565117"/>
    <w:rsid w:val="0056679B"/>
    <w:rsid w:val="00573EC4"/>
    <w:rsid w:val="00583859"/>
    <w:rsid w:val="005901AA"/>
    <w:rsid w:val="005911E1"/>
    <w:rsid w:val="005A18F2"/>
    <w:rsid w:val="005A3116"/>
    <w:rsid w:val="005A5CCA"/>
    <w:rsid w:val="005A5FCF"/>
    <w:rsid w:val="005B100F"/>
    <w:rsid w:val="005B2D5D"/>
    <w:rsid w:val="005C38B2"/>
    <w:rsid w:val="005D16FF"/>
    <w:rsid w:val="005D2489"/>
    <w:rsid w:val="005D4003"/>
    <w:rsid w:val="005D4080"/>
    <w:rsid w:val="005D470C"/>
    <w:rsid w:val="005E1109"/>
    <w:rsid w:val="005E6EE3"/>
    <w:rsid w:val="005F0FF8"/>
    <w:rsid w:val="005F757D"/>
    <w:rsid w:val="00600C8F"/>
    <w:rsid w:val="00603082"/>
    <w:rsid w:val="00607E12"/>
    <w:rsid w:val="00611B35"/>
    <w:rsid w:val="00611CA5"/>
    <w:rsid w:val="00620233"/>
    <w:rsid w:val="0062633A"/>
    <w:rsid w:val="00626848"/>
    <w:rsid w:val="0063222A"/>
    <w:rsid w:val="0063307E"/>
    <w:rsid w:val="00642C2A"/>
    <w:rsid w:val="006437B2"/>
    <w:rsid w:val="00664E32"/>
    <w:rsid w:val="0067039B"/>
    <w:rsid w:val="00671CC1"/>
    <w:rsid w:val="0068775B"/>
    <w:rsid w:val="00691CE0"/>
    <w:rsid w:val="00694365"/>
    <w:rsid w:val="006A2A65"/>
    <w:rsid w:val="006A566C"/>
    <w:rsid w:val="006A61DF"/>
    <w:rsid w:val="006B5DD7"/>
    <w:rsid w:val="006C1B21"/>
    <w:rsid w:val="006D014A"/>
    <w:rsid w:val="006D5786"/>
    <w:rsid w:val="006D6F59"/>
    <w:rsid w:val="006E1572"/>
    <w:rsid w:val="006E173D"/>
    <w:rsid w:val="006E538A"/>
    <w:rsid w:val="006F0EDC"/>
    <w:rsid w:val="006F3611"/>
    <w:rsid w:val="00701258"/>
    <w:rsid w:val="007036CD"/>
    <w:rsid w:val="00705A2B"/>
    <w:rsid w:val="00716862"/>
    <w:rsid w:val="007254E0"/>
    <w:rsid w:val="007278AE"/>
    <w:rsid w:val="00730852"/>
    <w:rsid w:val="00731032"/>
    <w:rsid w:val="00735715"/>
    <w:rsid w:val="00737BE2"/>
    <w:rsid w:val="00744FBD"/>
    <w:rsid w:val="007450D8"/>
    <w:rsid w:val="00755DA9"/>
    <w:rsid w:val="00755FDA"/>
    <w:rsid w:val="00757640"/>
    <w:rsid w:val="00761826"/>
    <w:rsid w:val="007654CC"/>
    <w:rsid w:val="00767D9E"/>
    <w:rsid w:val="00777274"/>
    <w:rsid w:val="00777FB0"/>
    <w:rsid w:val="0078049C"/>
    <w:rsid w:val="00784541"/>
    <w:rsid w:val="007874D6"/>
    <w:rsid w:val="007A3314"/>
    <w:rsid w:val="007A48F4"/>
    <w:rsid w:val="007A4C8D"/>
    <w:rsid w:val="007B0EC6"/>
    <w:rsid w:val="007B2F96"/>
    <w:rsid w:val="007C1250"/>
    <w:rsid w:val="007D00FC"/>
    <w:rsid w:val="007D0966"/>
    <w:rsid w:val="007D20F3"/>
    <w:rsid w:val="007D4338"/>
    <w:rsid w:val="007D6BFC"/>
    <w:rsid w:val="007D6CD1"/>
    <w:rsid w:val="007E2E16"/>
    <w:rsid w:val="007E3BD8"/>
    <w:rsid w:val="007E57F2"/>
    <w:rsid w:val="007E653A"/>
    <w:rsid w:val="007F3519"/>
    <w:rsid w:val="0080668B"/>
    <w:rsid w:val="0081318A"/>
    <w:rsid w:val="00814C3C"/>
    <w:rsid w:val="00817D1B"/>
    <w:rsid w:val="0082385A"/>
    <w:rsid w:val="0082495C"/>
    <w:rsid w:val="0082609A"/>
    <w:rsid w:val="0083632B"/>
    <w:rsid w:val="00841059"/>
    <w:rsid w:val="00841718"/>
    <w:rsid w:val="00851C0B"/>
    <w:rsid w:val="0085432D"/>
    <w:rsid w:val="00855AB4"/>
    <w:rsid w:val="008561F1"/>
    <w:rsid w:val="0086134B"/>
    <w:rsid w:val="00864275"/>
    <w:rsid w:val="00872593"/>
    <w:rsid w:val="008846E9"/>
    <w:rsid w:val="00884DD1"/>
    <w:rsid w:val="00890399"/>
    <w:rsid w:val="00895F15"/>
    <w:rsid w:val="008A0636"/>
    <w:rsid w:val="008A2A01"/>
    <w:rsid w:val="008A38D6"/>
    <w:rsid w:val="008A3D1E"/>
    <w:rsid w:val="008A43C6"/>
    <w:rsid w:val="008A49F0"/>
    <w:rsid w:val="008B7D00"/>
    <w:rsid w:val="008C2879"/>
    <w:rsid w:val="008C6EB5"/>
    <w:rsid w:val="008D15E4"/>
    <w:rsid w:val="008D2EB9"/>
    <w:rsid w:val="008D41BD"/>
    <w:rsid w:val="008D4D00"/>
    <w:rsid w:val="008E7C26"/>
    <w:rsid w:val="008F2607"/>
    <w:rsid w:val="008F3774"/>
    <w:rsid w:val="0090051E"/>
    <w:rsid w:val="009061F1"/>
    <w:rsid w:val="00910307"/>
    <w:rsid w:val="0091131C"/>
    <w:rsid w:val="00911FA3"/>
    <w:rsid w:val="00917F50"/>
    <w:rsid w:val="0092046E"/>
    <w:rsid w:val="00926B68"/>
    <w:rsid w:val="009326D4"/>
    <w:rsid w:val="00942960"/>
    <w:rsid w:val="00952960"/>
    <w:rsid w:val="009571BF"/>
    <w:rsid w:val="0096181A"/>
    <w:rsid w:val="00970F5C"/>
    <w:rsid w:val="00973C68"/>
    <w:rsid w:val="00980C64"/>
    <w:rsid w:val="00981617"/>
    <w:rsid w:val="00984F70"/>
    <w:rsid w:val="00995B9A"/>
    <w:rsid w:val="00995F22"/>
    <w:rsid w:val="00996706"/>
    <w:rsid w:val="0099789A"/>
    <w:rsid w:val="009A01A1"/>
    <w:rsid w:val="009A0F73"/>
    <w:rsid w:val="009A38B0"/>
    <w:rsid w:val="009A7B10"/>
    <w:rsid w:val="009B186D"/>
    <w:rsid w:val="009B46C1"/>
    <w:rsid w:val="009B7A74"/>
    <w:rsid w:val="009C7673"/>
    <w:rsid w:val="009D21EA"/>
    <w:rsid w:val="009E0942"/>
    <w:rsid w:val="009E153F"/>
    <w:rsid w:val="009F0A76"/>
    <w:rsid w:val="009F1C2B"/>
    <w:rsid w:val="009F42A2"/>
    <w:rsid w:val="009F782A"/>
    <w:rsid w:val="009F7F6C"/>
    <w:rsid w:val="00A04BBF"/>
    <w:rsid w:val="00A05764"/>
    <w:rsid w:val="00A05FE8"/>
    <w:rsid w:val="00A1783A"/>
    <w:rsid w:val="00A259D6"/>
    <w:rsid w:val="00A268FC"/>
    <w:rsid w:val="00A3654D"/>
    <w:rsid w:val="00A437C1"/>
    <w:rsid w:val="00A44FA7"/>
    <w:rsid w:val="00A4608B"/>
    <w:rsid w:val="00A55460"/>
    <w:rsid w:val="00A55D58"/>
    <w:rsid w:val="00A5629A"/>
    <w:rsid w:val="00A5637A"/>
    <w:rsid w:val="00A629AC"/>
    <w:rsid w:val="00A66921"/>
    <w:rsid w:val="00A67C22"/>
    <w:rsid w:val="00A722FB"/>
    <w:rsid w:val="00A73342"/>
    <w:rsid w:val="00A75E77"/>
    <w:rsid w:val="00A7769A"/>
    <w:rsid w:val="00A95599"/>
    <w:rsid w:val="00A96D56"/>
    <w:rsid w:val="00A974C1"/>
    <w:rsid w:val="00AA46CF"/>
    <w:rsid w:val="00AA5AB0"/>
    <w:rsid w:val="00AB0D59"/>
    <w:rsid w:val="00AB323C"/>
    <w:rsid w:val="00AB3AAE"/>
    <w:rsid w:val="00AB75A6"/>
    <w:rsid w:val="00AC1FF6"/>
    <w:rsid w:val="00AC5A32"/>
    <w:rsid w:val="00AC6807"/>
    <w:rsid w:val="00AD31B0"/>
    <w:rsid w:val="00AD43B9"/>
    <w:rsid w:val="00AD4486"/>
    <w:rsid w:val="00AD65C3"/>
    <w:rsid w:val="00AD7D0A"/>
    <w:rsid w:val="00AE2416"/>
    <w:rsid w:val="00AE2C0B"/>
    <w:rsid w:val="00AE76C2"/>
    <w:rsid w:val="00AF0307"/>
    <w:rsid w:val="00B0093A"/>
    <w:rsid w:val="00B057E0"/>
    <w:rsid w:val="00B07C2C"/>
    <w:rsid w:val="00B12E00"/>
    <w:rsid w:val="00B14F8C"/>
    <w:rsid w:val="00B15181"/>
    <w:rsid w:val="00B211A3"/>
    <w:rsid w:val="00B21AE1"/>
    <w:rsid w:val="00B23783"/>
    <w:rsid w:val="00B316BA"/>
    <w:rsid w:val="00B41BE8"/>
    <w:rsid w:val="00B42D0C"/>
    <w:rsid w:val="00B463CF"/>
    <w:rsid w:val="00B54FA4"/>
    <w:rsid w:val="00B60D03"/>
    <w:rsid w:val="00B67091"/>
    <w:rsid w:val="00B81DAC"/>
    <w:rsid w:val="00B822EA"/>
    <w:rsid w:val="00B922A2"/>
    <w:rsid w:val="00B93851"/>
    <w:rsid w:val="00B94043"/>
    <w:rsid w:val="00B96B08"/>
    <w:rsid w:val="00BA33C7"/>
    <w:rsid w:val="00BA43B4"/>
    <w:rsid w:val="00BA43B8"/>
    <w:rsid w:val="00BA5FD9"/>
    <w:rsid w:val="00BB36E3"/>
    <w:rsid w:val="00BB4092"/>
    <w:rsid w:val="00BB771B"/>
    <w:rsid w:val="00BC4C57"/>
    <w:rsid w:val="00BC6593"/>
    <w:rsid w:val="00BC6C2F"/>
    <w:rsid w:val="00BD0E0D"/>
    <w:rsid w:val="00BD4AE7"/>
    <w:rsid w:val="00BD5A36"/>
    <w:rsid w:val="00BE14B9"/>
    <w:rsid w:val="00BE1EF6"/>
    <w:rsid w:val="00BE3720"/>
    <w:rsid w:val="00BE4944"/>
    <w:rsid w:val="00BE6245"/>
    <w:rsid w:val="00BF2DDD"/>
    <w:rsid w:val="00BF4EDC"/>
    <w:rsid w:val="00BF6572"/>
    <w:rsid w:val="00C0316B"/>
    <w:rsid w:val="00C10901"/>
    <w:rsid w:val="00C11001"/>
    <w:rsid w:val="00C20076"/>
    <w:rsid w:val="00C23D12"/>
    <w:rsid w:val="00C31EF7"/>
    <w:rsid w:val="00C3206D"/>
    <w:rsid w:val="00C33307"/>
    <w:rsid w:val="00C3371D"/>
    <w:rsid w:val="00C41417"/>
    <w:rsid w:val="00C4219E"/>
    <w:rsid w:val="00C4238E"/>
    <w:rsid w:val="00C4258A"/>
    <w:rsid w:val="00C45DE6"/>
    <w:rsid w:val="00C468C6"/>
    <w:rsid w:val="00C61402"/>
    <w:rsid w:val="00C66C12"/>
    <w:rsid w:val="00C66C81"/>
    <w:rsid w:val="00C7551A"/>
    <w:rsid w:val="00C811D2"/>
    <w:rsid w:val="00C84B8C"/>
    <w:rsid w:val="00C86109"/>
    <w:rsid w:val="00C93F35"/>
    <w:rsid w:val="00C95F82"/>
    <w:rsid w:val="00C97EAF"/>
    <w:rsid w:val="00CA01ED"/>
    <w:rsid w:val="00CA072F"/>
    <w:rsid w:val="00CB6C8A"/>
    <w:rsid w:val="00CB71B8"/>
    <w:rsid w:val="00CC29D1"/>
    <w:rsid w:val="00CC6E15"/>
    <w:rsid w:val="00CD2BD0"/>
    <w:rsid w:val="00CD341A"/>
    <w:rsid w:val="00CD7B97"/>
    <w:rsid w:val="00CE1195"/>
    <w:rsid w:val="00CE4584"/>
    <w:rsid w:val="00CF2F76"/>
    <w:rsid w:val="00CF3987"/>
    <w:rsid w:val="00CF487D"/>
    <w:rsid w:val="00D01565"/>
    <w:rsid w:val="00D02C02"/>
    <w:rsid w:val="00D03EFD"/>
    <w:rsid w:val="00D04855"/>
    <w:rsid w:val="00D06AE0"/>
    <w:rsid w:val="00D1341C"/>
    <w:rsid w:val="00D1398B"/>
    <w:rsid w:val="00D13DA7"/>
    <w:rsid w:val="00D162A8"/>
    <w:rsid w:val="00D20046"/>
    <w:rsid w:val="00D21A4A"/>
    <w:rsid w:val="00D3017F"/>
    <w:rsid w:val="00D311F3"/>
    <w:rsid w:val="00D3507F"/>
    <w:rsid w:val="00D35A65"/>
    <w:rsid w:val="00D363D0"/>
    <w:rsid w:val="00D36CE6"/>
    <w:rsid w:val="00D41FA5"/>
    <w:rsid w:val="00D4306E"/>
    <w:rsid w:val="00D44633"/>
    <w:rsid w:val="00D4526D"/>
    <w:rsid w:val="00D479F4"/>
    <w:rsid w:val="00D53260"/>
    <w:rsid w:val="00D556D1"/>
    <w:rsid w:val="00D6004F"/>
    <w:rsid w:val="00D669F9"/>
    <w:rsid w:val="00D706B6"/>
    <w:rsid w:val="00D811F9"/>
    <w:rsid w:val="00DA0593"/>
    <w:rsid w:val="00DA3692"/>
    <w:rsid w:val="00DB79E0"/>
    <w:rsid w:val="00DD14B2"/>
    <w:rsid w:val="00DD6BBC"/>
    <w:rsid w:val="00DE0EDD"/>
    <w:rsid w:val="00DE3005"/>
    <w:rsid w:val="00DE735E"/>
    <w:rsid w:val="00DF32B3"/>
    <w:rsid w:val="00DF3B9C"/>
    <w:rsid w:val="00DF5874"/>
    <w:rsid w:val="00DF5A8E"/>
    <w:rsid w:val="00E115ED"/>
    <w:rsid w:val="00E20FA3"/>
    <w:rsid w:val="00E24893"/>
    <w:rsid w:val="00E46647"/>
    <w:rsid w:val="00E4699A"/>
    <w:rsid w:val="00E5411A"/>
    <w:rsid w:val="00E6183C"/>
    <w:rsid w:val="00E64255"/>
    <w:rsid w:val="00E6527B"/>
    <w:rsid w:val="00E70C3D"/>
    <w:rsid w:val="00E71DE9"/>
    <w:rsid w:val="00E735E7"/>
    <w:rsid w:val="00E77357"/>
    <w:rsid w:val="00E805E8"/>
    <w:rsid w:val="00E8343D"/>
    <w:rsid w:val="00E9151E"/>
    <w:rsid w:val="00E928AA"/>
    <w:rsid w:val="00E93825"/>
    <w:rsid w:val="00E950F2"/>
    <w:rsid w:val="00E97BF1"/>
    <w:rsid w:val="00EA2F62"/>
    <w:rsid w:val="00EA5AF8"/>
    <w:rsid w:val="00EB25A6"/>
    <w:rsid w:val="00EB5255"/>
    <w:rsid w:val="00EB6D1D"/>
    <w:rsid w:val="00EC12FF"/>
    <w:rsid w:val="00EC5F49"/>
    <w:rsid w:val="00ED45DD"/>
    <w:rsid w:val="00ED5569"/>
    <w:rsid w:val="00EE3026"/>
    <w:rsid w:val="00EE3420"/>
    <w:rsid w:val="00EE7078"/>
    <w:rsid w:val="00EF5946"/>
    <w:rsid w:val="00EF72EA"/>
    <w:rsid w:val="00F01760"/>
    <w:rsid w:val="00F04C79"/>
    <w:rsid w:val="00F11494"/>
    <w:rsid w:val="00F1390F"/>
    <w:rsid w:val="00F167C8"/>
    <w:rsid w:val="00F169A5"/>
    <w:rsid w:val="00F21E28"/>
    <w:rsid w:val="00F258A9"/>
    <w:rsid w:val="00F27C63"/>
    <w:rsid w:val="00F328C2"/>
    <w:rsid w:val="00F41CB0"/>
    <w:rsid w:val="00F424BF"/>
    <w:rsid w:val="00F43A19"/>
    <w:rsid w:val="00F44036"/>
    <w:rsid w:val="00F50C39"/>
    <w:rsid w:val="00F6171D"/>
    <w:rsid w:val="00F62963"/>
    <w:rsid w:val="00F62E68"/>
    <w:rsid w:val="00F7292B"/>
    <w:rsid w:val="00F72D44"/>
    <w:rsid w:val="00F82420"/>
    <w:rsid w:val="00F8320C"/>
    <w:rsid w:val="00F86344"/>
    <w:rsid w:val="00F969D6"/>
    <w:rsid w:val="00F96D6E"/>
    <w:rsid w:val="00F96E01"/>
    <w:rsid w:val="00FA0345"/>
    <w:rsid w:val="00FB0A36"/>
    <w:rsid w:val="00FB0D1C"/>
    <w:rsid w:val="00FB2583"/>
    <w:rsid w:val="00FB5BA5"/>
    <w:rsid w:val="00FC4290"/>
    <w:rsid w:val="00FD5C48"/>
    <w:rsid w:val="00FD6A34"/>
    <w:rsid w:val="00FE24BC"/>
    <w:rsid w:val="00FE3A24"/>
    <w:rsid w:val="00FF02D5"/>
    <w:rsid w:val="01626E33"/>
    <w:rsid w:val="017A2F9F"/>
    <w:rsid w:val="01B67107"/>
    <w:rsid w:val="020F6D27"/>
    <w:rsid w:val="02217C74"/>
    <w:rsid w:val="026359B2"/>
    <w:rsid w:val="026B7642"/>
    <w:rsid w:val="02AC542A"/>
    <w:rsid w:val="035717DD"/>
    <w:rsid w:val="038E49EB"/>
    <w:rsid w:val="03A45696"/>
    <w:rsid w:val="03B74B35"/>
    <w:rsid w:val="03D862B6"/>
    <w:rsid w:val="03FB4D0B"/>
    <w:rsid w:val="042A0CA0"/>
    <w:rsid w:val="045B484E"/>
    <w:rsid w:val="047841EE"/>
    <w:rsid w:val="04A56073"/>
    <w:rsid w:val="04AD2B7D"/>
    <w:rsid w:val="04E841EF"/>
    <w:rsid w:val="05081AD1"/>
    <w:rsid w:val="052E6699"/>
    <w:rsid w:val="05341DD6"/>
    <w:rsid w:val="057728DC"/>
    <w:rsid w:val="05912D04"/>
    <w:rsid w:val="05C1448E"/>
    <w:rsid w:val="05C1761D"/>
    <w:rsid w:val="05D90398"/>
    <w:rsid w:val="05E52FAD"/>
    <w:rsid w:val="060A24AD"/>
    <w:rsid w:val="07640956"/>
    <w:rsid w:val="07A34544"/>
    <w:rsid w:val="07C17B6D"/>
    <w:rsid w:val="08190B33"/>
    <w:rsid w:val="08C10882"/>
    <w:rsid w:val="08C7668D"/>
    <w:rsid w:val="08CC205B"/>
    <w:rsid w:val="08DB1609"/>
    <w:rsid w:val="09327D67"/>
    <w:rsid w:val="097859D4"/>
    <w:rsid w:val="09823D8A"/>
    <w:rsid w:val="09C9617E"/>
    <w:rsid w:val="0A280DE4"/>
    <w:rsid w:val="0A2D21B2"/>
    <w:rsid w:val="0A4707FD"/>
    <w:rsid w:val="0A751EDD"/>
    <w:rsid w:val="0AB177F2"/>
    <w:rsid w:val="0AB319EF"/>
    <w:rsid w:val="0AEC3562"/>
    <w:rsid w:val="0B447CC4"/>
    <w:rsid w:val="0B5C19F8"/>
    <w:rsid w:val="0B6B4922"/>
    <w:rsid w:val="0B840250"/>
    <w:rsid w:val="0BBB1C03"/>
    <w:rsid w:val="0BBD1CFB"/>
    <w:rsid w:val="0BC63C92"/>
    <w:rsid w:val="0BCF17F7"/>
    <w:rsid w:val="0C1A7343"/>
    <w:rsid w:val="0C3C56A3"/>
    <w:rsid w:val="0C3E1C6B"/>
    <w:rsid w:val="0C4A0131"/>
    <w:rsid w:val="0C8D0553"/>
    <w:rsid w:val="0C994F52"/>
    <w:rsid w:val="0CB6160D"/>
    <w:rsid w:val="0D4A231C"/>
    <w:rsid w:val="0DBA0DC1"/>
    <w:rsid w:val="0DCE605A"/>
    <w:rsid w:val="0DEE2D3E"/>
    <w:rsid w:val="0DFF4F4B"/>
    <w:rsid w:val="0E5158C5"/>
    <w:rsid w:val="0EA66A76"/>
    <w:rsid w:val="0EAD6E68"/>
    <w:rsid w:val="0EB15612"/>
    <w:rsid w:val="0ECF621B"/>
    <w:rsid w:val="0EFB5876"/>
    <w:rsid w:val="0F107EE3"/>
    <w:rsid w:val="0F3B4594"/>
    <w:rsid w:val="0F4603E9"/>
    <w:rsid w:val="0F5D6174"/>
    <w:rsid w:val="0F8109EA"/>
    <w:rsid w:val="0F931176"/>
    <w:rsid w:val="0FC0132B"/>
    <w:rsid w:val="0FCF39BD"/>
    <w:rsid w:val="100A1A0C"/>
    <w:rsid w:val="1016071E"/>
    <w:rsid w:val="10325A41"/>
    <w:rsid w:val="10656E2F"/>
    <w:rsid w:val="1084224C"/>
    <w:rsid w:val="10DB232E"/>
    <w:rsid w:val="1113718A"/>
    <w:rsid w:val="114859F3"/>
    <w:rsid w:val="11967974"/>
    <w:rsid w:val="12554B29"/>
    <w:rsid w:val="12AD3E7D"/>
    <w:rsid w:val="12C42FA0"/>
    <w:rsid w:val="12D35C61"/>
    <w:rsid w:val="12E0359D"/>
    <w:rsid w:val="12EA2F1A"/>
    <w:rsid w:val="130558D9"/>
    <w:rsid w:val="13424E21"/>
    <w:rsid w:val="137F545A"/>
    <w:rsid w:val="13801D6F"/>
    <w:rsid w:val="13841A7B"/>
    <w:rsid w:val="138B759A"/>
    <w:rsid w:val="13F46315"/>
    <w:rsid w:val="140D076E"/>
    <w:rsid w:val="140E2407"/>
    <w:rsid w:val="141F1F10"/>
    <w:rsid w:val="14611714"/>
    <w:rsid w:val="14CF05AD"/>
    <w:rsid w:val="14CF3275"/>
    <w:rsid w:val="14E8356B"/>
    <w:rsid w:val="14EB3F48"/>
    <w:rsid w:val="14FD41CB"/>
    <w:rsid w:val="15546C2C"/>
    <w:rsid w:val="158240BB"/>
    <w:rsid w:val="160D5A33"/>
    <w:rsid w:val="164B77DE"/>
    <w:rsid w:val="164E5E0B"/>
    <w:rsid w:val="17532A55"/>
    <w:rsid w:val="17932EDC"/>
    <w:rsid w:val="17A36DDB"/>
    <w:rsid w:val="17A532AB"/>
    <w:rsid w:val="180B07AE"/>
    <w:rsid w:val="181A2360"/>
    <w:rsid w:val="181F4708"/>
    <w:rsid w:val="18221462"/>
    <w:rsid w:val="184F1121"/>
    <w:rsid w:val="185B2A86"/>
    <w:rsid w:val="18C66253"/>
    <w:rsid w:val="18CD5743"/>
    <w:rsid w:val="197B50D2"/>
    <w:rsid w:val="19926875"/>
    <w:rsid w:val="1A297DDD"/>
    <w:rsid w:val="1A7919B9"/>
    <w:rsid w:val="1AB171C8"/>
    <w:rsid w:val="1B1350D9"/>
    <w:rsid w:val="1B9A7C0E"/>
    <w:rsid w:val="1B9B203B"/>
    <w:rsid w:val="1BD04E63"/>
    <w:rsid w:val="1BFD1CC9"/>
    <w:rsid w:val="1C96385A"/>
    <w:rsid w:val="1CE92F5C"/>
    <w:rsid w:val="1D437979"/>
    <w:rsid w:val="1D4708B1"/>
    <w:rsid w:val="1D656164"/>
    <w:rsid w:val="1E8900BD"/>
    <w:rsid w:val="1ECB269E"/>
    <w:rsid w:val="1EE66C3C"/>
    <w:rsid w:val="1EF96BEA"/>
    <w:rsid w:val="1F116510"/>
    <w:rsid w:val="1F1C3B7B"/>
    <w:rsid w:val="200551AB"/>
    <w:rsid w:val="205932DE"/>
    <w:rsid w:val="20A03801"/>
    <w:rsid w:val="20BC5FF2"/>
    <w:rsid w:val="219D4F8D"/>
    <w:rsid w:val="222807B1"/>
    <w:rsid w:val="22435D4E"/>
    <w:rsid w:val="2245419D"/>
    <w:rsid w:val="22FE317D"/>
    <w:rsid w:val="237704D4"/>
    <w:rsid w:val="23891077"/>
    <w:rsid w:val="23A1558C"/>
    <w:rsid w:val="23BE50B1"/>
    <w:rsid w:val="2422161E"/>
    <w:rsid w:val="246E6851"/>
    <w:rsid w:val="24942E5E"/>
    <w:rsid w:val="24954F65"/>
    <w:rsid w:val="24C7511E"/>
    <w:rsid w:val="257F04AC"/>
    <w:rsid w:val="25E53B95"/>
    <w:rsid w:val="25EB17AB"/>
    <w:rsid w:val="25FF1317"/>
    <w:rsid w:val="26487E8F"/>
    <w:rsid w:val="266362EA"/>
    <w:rsid w:val="26791D53"/>
    <w:rsid w:val="268A5041"/>
    <w:rsid w:val="269A59A1"/>
    <w:rsid w:val="26D96305"/>
    <w:rsid w:val="26E96527"/>
    <w:rsid w:val="27293F76"/>
    <w:rsid w:val="275642B6"/>
    <w:rsid w:val="2797346E"/>
    <w:rsid w:val="27984D8A"/>
    <w:rsid w:val="27CC625C"/>
    <w:rsid w:val="27FF1758"/>
    <w:rsid w:val="28026E78"/>
    <w:rsid w:val="28406D20"/>
    <w:rsid w:val="285745A9"/>
    <w:rsid w:val="28604488"/>
    <w:rsid w:val="287F60B2"/>
    <w:rsid w:val="29696297"/>
    <w:rsid w:val="297011FE"/>
    <w:rsid w:val="29B3734F"/>
    <w:rsid w:val="29F90436"/>
    <w:rsid w:val="29FF1B5A"/>
    <w:rsid w:val="2A221FC7"/>
    <w:rsid w:val="2A254E63"/>
    <w:rsid w:val="2A275D31"/>
    <w:rsid w:val="2AE168E0"/>
    <w:rsid w:val="2B2F33CE"/>
    <w:rsid w:val="2B762790"/>
    <w:rsid w:val="2BAC2B14"/>
    <w:rsid w:val="2BC73FBA"/>
    <w:rsid w:val="2BFF60E5"/>
    <w:rsid w:val="2C0042E3"/>
    <w:rsid w:val="2C0D59AC"/>
    <w:rsid w:val="2C2D5D74"/>
    <w:rsid w:val="2C334F61"/>
    <w:rsid w:val="2C3D20DB"/>
    <w:rsid w:val="2C71221F"/>
    <w:rsid w:val="2C715093"/>
    <w:rsid w:val="2CF75D34"/>
    <w:rsid w:val="2DDB0952"/>
    <w:rsid w:val="2E0221C2"/>
    <w:rsid w:val="2E0C46C8"/>
    <w:rsid w:val="2E2A738E"/>
    <w:rsid w:val="2E4A0CBE"/>
    <w:rsid w:val="2EAB46F5"/>
    <w:rsid w:val="2EC6420A"/>
    <w:rsid w:val="2EF3059D"/>
    <w:rsid w:val="2F1C3DF2"/>
    <w:rsid w:val="2F2C0A85"/>
    <w:rsid w:val="2F414FFF"/>
    <w:rsid w:val="2F8D5831"/>
    <w:rsid w:val="2FA6445E"/>
    <w:rsid w:val="2FAC25DB"/>
    <w:rsid w:val="2FAF3097"/>
    <w:rsid w:val="2FB617C0"/>
    <w:rsid w:val="300C6664"/>
    <w:rsid w:val="30135E46"/>
    <w:rsid w:val="30450B4E"/>
    <w:rsid w:val="30465275"/>
    <w:rsid w:val="31061102"/>
    <w:rsid w:val="31A04CAD"/>
    <w:rsid w:val="31A70211"/>
    <w:rsid w:val="31AB1CD3"/>
    <w:rsid w:val="31B15053"/>
    <w:rsid w:val="320A79AF"/>
    <w:rsid w:val="3256082B"/>
    <w:rsid w:val="327D7E69"/>
    <w:rsid w:val="32826152"/>
    <w:rsid w:val="32EC51EE"/>
    <w:rsid w:val="33116010"/>
    <w:rsid w:val="331546C4"/>
    <w:rsid w:val="33521E3D"/>
    <w:rsid w:val="33656AA9"/>
    <w:rsid w:val="33782EB9"/>
    <w:rsid w:val="33A16094"/>
    <w:rsid w:val="33E6234B"/>
    <w:rsid w:val="33F80618"/>
    <w:rsid w:val="340E49EF"/>
    <w:rsid w:val="3465554A"/>
    <w:rsid w:val="34983DE3"/>
    <w:rsid w:val="34A64D07"/>
    <w:rsid w:val="34B10AAC"/>
    <w:rsid w:val="34BF6C35"/>
    <w:rsid w:val="34F5635F"/>
    <w:rsid w:val="354811BC"/>
    <w:rsid w:val="35521A2B"/>
    <w:rsid w:val="355E472E"/>
    <w:rsid w:val="359E40E8"/>
    <w:rsid w:val="35C22B6B"/>
    <w:rsid w:val="35EA737B"/>
    <w:rsid w:val="36706ADF"/>
    <w:rsid w:val="36833C5C"/>
    <w:rsid w:val="36A129F2"/>
    <w:rsid w:val="36B3095D"/>
    <w:rsid w:val="36D22597"/>
    <w:rsid w:val="371719A6"/>
    <w:rsid w:val="371E35B2"/>
    <w:rsid w:val="37564D03"/>
    <w:rsid w:val="37751EC2"/>
    <w:rsid w:val="37C77C1E"/>
    <w:rsid w:val="388010B8"/>
    <w:rsid w:val="38FA6DBA"/>
    <w:rsid w:val="390E5CB1"/>
    <w:rsid w:val="39474657"/>
    <w:rsid w:val="394E2214"/>
    <w:rsid w:val="399A1E48"/>
    <w:rsid w:val="39A10C32"/>
    <w:rsid w:val="39CC7911"/>
    <w:rsid w:val="39E44839"/>
    <w:rsid w:val="3A457B72"/>
    <w:rsid w:val="3A4A2286"/>
    <w:rsid w:val="3AA6726B"/>
    <w:rsid w:val="3AE82075"/>
    <w:rsid w:val="3B017FBE"/>
    <w:rsid w:val="3B307A72"/>
    <w:rsid w:val="3B9335A4"/>
    <w:rsid w:val="3B992613"/>
    <w:rsid w:val="3BB24F73"/>
    <w:rsid w:val="3BCD490E"/>
    <w:rsid w:val="3BDB6726"/>
    <w:rsid w:val="3C056780"/>
    <w:rsid w:val="3C0B3B20"/>
    <w:rsid w:val="3C1860E9"/>
    <w:rsid w:val="3C265FAB"/>
    <w:rsid w:val="3C45620B"/>
    <w:rsid w:val="3D7312A1"/>
    <w:rsid w:val="3D8F2FFE"/>
    <w:rsid w:val="3D8F779B"/>
    <w:rsid w:val="3DB31849"/>
    <w:rsid w:val="3E15702B"/>
    <w:rsid w:val="3E247857"/>
    <w:rsid w:val="3E984240"/>
    <w:rsid w:val="3EAD34C3"/>
    <w:rsid w:val="3EBE7C37"/>
    <w:rsid w:val="3F120426"/>
    <w:rsid w:val="3F1976B6"/>
    <w:rsid w:val="3F5E6431"/>
    <w:rsid w:val="3F8C0907"/>
    <w:rsid w:val="3F9B5E29"/>
    <w:rsid w:val="400454FD"/>
    <w:rsid w:val="40552C1F"/>
    <w:rsid w:val="4057229F"/>
    <w:rsid w:val="405F7DEE"/>
    <w:rsid w:val="40992FB0"/>
    <w:rsid w:val="40DB7824"/>
    <w:rsid w:val="410115DD"/>
    <w:rsid w:val="418A21AD"/>
    <w:rsid w:val="41A212A1"/>
    <w:rsid w:val="41EC42BB"/>
    <w:rsid w:val="4239228E"/>
    <w:rsid w:val="428A1304"/>
    <w:rsid w:val="42E44C98"/>
    <w:rsid w:val="431B6113"/>
    <w:rsid w:val="438834DF"/>
    <w:rsid w:val="43A20A3C"/>
    <w:rsid w:val="440B4462"/>
    <w:rsid w:val="444C66C3"/>
    <w:rsid w:val="44630F9F"/>
    <w:rsid w:val="446A3603"/>
    <w:rsid w:val="458B573C"/>
    <w:rsid w:val="45CE60A3"/>
    <w:rsid w:val="45F25DBF"/>
    <w:rsid w:val="461C57E1"/>
    <w:rsid w:val="464D2106"/>
    <w:rsid w:val="46572A53"/>
    <w:rsid w:val="465B2718"/>
    <w:rsid w:val="46651F6D"/>
    <w:rsid w:val="46BE763A"/>
    <w:rsid w:val="46C178CC"/>
    <w:rsid w:val="46F31024"/>
    <w:rsid w:val="46FD3AFE"/>
    <w:rsid w:val="471E0A34"/>
    <w:rsid w:val="4723739A"/>
    <w:rsid w:val="47250EF5"/>
    <w:rsid w:val="47C21415"/>
    <w:rsid w:val="48084421"/>
    <w:rsid w:val="48206AB3"/>
    <w:rsid w:val="4849652E"/>
    <w:rsid w:val="487415C1"/>
    <w:rsid w:val="48813383"/>
    <w:rsid w:val="48994869"/>
    <w:rsid w:val="489B6E47"/>
    <w:rsid w:val="48B91344"/>
    <w:rsid w:val="48C3403D"/>
    <w:rsid w:val="4901682D"/>
    <w:rsid w:val="491F1E3E"/>
    <w:rsid w:val="497E4D40"/>
    <w:rsid w:val="498D6EB3"/>
    <w:rsid w:val="49A14844"/>
    <w:rsid w:val="4A38329E"/>
    <w:rsid w:val="4A786E7C"/>
    <w:rsid w:val="4A812037"/>
    <w:rsid w:val="4AA77F21"/>
    <w:rsid w:val="4ABF0429"/>
    <w:rsid w:val="4B05514E"/>
    <w:rsid w:val="4B7D224D"/>
    <w:rsid w:val="4B88354F"/>
    <w:rsid w:val="4B897577"/>
    <w:rsid w:val="4B8D7117"/>
    <w:rsid w:val="4BA739F3"/>
    <w:rsid w:val="4BAA41B4"/>
    <w:rsid w:val="4BCA5B3F"/>
    <w:rsid w:val="4BCB2F27"/>
    <w:rsid w:val="4BEF3793"/>
    <w:rsid w:val="4BF4339D"/>
    <w:rsid w:val="4C8B29AF"/>
    <w:rsid w:val="4CA010BB"/>
    <w:rsid w:val="4CBA3F1B"/>
    <w:rsid w:val="4CC1550E"/>
    <w:rsid w:val="4CCB5B06"/>
    <w:rsid w:val="4D0A37F3"/>
    <w:rsid w:val="4D380018"/>
    <w:rsid w:val="4D585803"/>
    <w:rsid w:val="4D7D0483"/>
    <w:rsid w:val="4D8712EF"/>
    <w:rsid w:val="4DFC778B"/>
    <w:rsid w:val="4E2D0EEC"/>
    <w:rsid w:val="4E4C4964"/>
    <w:rsid w:val="4E5F365E"/>
    <w:rsid w:val="4E91728C"/>
    <w:rsid w:val="4EF42EFE"/>
    <w:rsid w:val="4FDE358A"/>
    <w:rsid w:val="501832A3"/>
    <w:rsid w:val="50632B28"/>
    <w:rsid w:val="50B213CE"/>
    <w:rsid w:val="50C63B0F"/>
    <w:rsid w:val="50F36C04"/>
    <w:rsid w:val="51011AC0"/>
    <w:rsid w:val="51086CD3"/>
    <w:rsid w:val="511B035E"/>
    <w:rsid w:val="512B6610"/>
    <w:rsid w:val="517A3160"/>
    <w:rsid w:val="51D53FD0"/>
    <w:rsid w:val="527F0375"/>
    <w:rsid w:val="528D4348"/>
    <w:rsid w:val="52BF3EA5"/>
    <w:rsid w:val="52E5462F"/>
    <w:rsid w:val="53030193"/>
    <w:rsid w:val="531427EC"/>
    <w:rsid w:val="531C785E"/>
    <w:rsid w:val="533770C8"/>
    <w:rsid w:val="5338243A"/>
    <w:rsid w:val="53BD0CC2"/>
    <w:rsid w:val="53E84DC7"/>
    <w:rsid w:val="54091EFA"/>
    <w:rsid w:val="543B42DA"/>
    <w:rsid w:val="54481E7C"/>
    <w:rsid w:val="54E64A90"/>
    <w:rsid w:val="54EF1C22"/>
    <w:rsid w:val="54F43EB0"/>
    <w:rsid w:val="55025399"/>
    <w:rsid w:val="55631682"/>
    <w:rsid w:val="55913DE9"/>
    <w:rsid w:val="55B36956"/>
    <w:rsid w:val="55BC0A87"/>
    <w:rsid w:val="55C44EE3"/>
    <w:rsid w:val="55CD6DBF"/>
    <w:rsid w:val="55D409AB"/>
    <w:rsid w:val="560E70A6"/>
    <w:rsid w:val="564C33E3"/>
    <w:rsid w:val="565A5E3A"/>
    <w:rsid w:val="56AA311A"/>
    <w:rsid w:val="56B357D4"/>
    <w:rsid w:val="576B630C"/>
    <w:rsid w:val="57906076"/>
    <w:rsid w:val="57F77E8D"/>
    <w:rsid w:val="584101D8"/>
    <w:rsid w:val="584366A5"/>
    <w:rsid w:val="58464AEC"/>
    <w:rsid w:val="58D37D03"/>
    <w:rsid w:val="58F80B81"/>
    <w:rsid w:val="59171D29"/>
    <w:rsid w:val="594B64BC"/>
    <w:rsid w:val="59C1394B"/>
    <w:rsid w:val="59E4333B"/>
    <w:rsid w:val="5A1A20EF"/>
    <w:rsid w:val="5A327175"/>
    <w:rsid w:val="5A461F67"/>
    <w:rsid w:val="5A4D12DB"/>
    <w:rsid w:val="5AA95942"/>
    <w:rsid w:val="5B9A1A90"/>
    <w:rsid w:val="5BEA616D"/>
    <w:rsid w:val="5C620610"/>
    <w:rsid w:val="5C7C27CC"/>
    <w:rsid w:val="5C8E6646"/>
    <w:rsid w:val="5CA1473C"/>
    <w:rsid w:val="5D743AF2"/>
    <w:rsid w:val="5D784DB7"/>
    <w:rsid w:val="5D804113"/>
    <w:rsid w:val="5D86298B"/>
    <w:rsid w:val="5DF574B1"/>
    <w:rsid w:val="5E01598A"/>
    <w:rsid w:val="5E0518AE"/>
    <w:rsid w:val="5E7319C7"/>
    <w:rsid w:val="5F3F14B1"/>
    <w:rsid w:val="5F4A1944"/>
    <w:rsid w:val="5F736A1C"/>
    <w:rsid w:val="5F7C1524"/>
    <w:rsid w:val="5FD76977"/>
    <w:rsid w:val="61431576"/>
    <w:rsid w:val="61B07674"/>
    <w:rsid w:val="61D16983"/>
    <w:rsid w:val="63B16DA6"/>
    <w:rsid w:val="64325BAA"/>
    <w:rsid w:val="6474563E"/>
    <w:rsid w:val="64DD2E2F"/>
    <w:rsid w:val="650C79CC"/>
    <w:rsid w:val="651F0B40"/>
    <w:rsid w:val="654A3BA1"/>
    <w:rsid w:val="65554008"/>
    <w:rsid w:val="65720792"/>
    <w:rsid w:val="65727ED4"/>
    <w:rsid w:val="658D11B9"/>
    <w:rsid w:val="65A15618"/>
    <w:rsid w:val="660467A7"/>
    <w:rsid w:val="66471D7C"/>
    <w:rsid w:val="667D6EFB"/>
    <w:rsid w:val="66BC66AA"/>
    <w:rsid w:val="66FD7813"/>
    <w:rsid w:val="67006EDF"/>
    <w:rsid w:val="67825ED9"/>
    <w:rsid w:val="67A0385B"/>
    <w:rsid w:val="67B37940"/>
    <w:rsid w:val="686C2A53"/>
    <w:rsid w:val="689C4BB9"/>
    <w:rsid w:val="68A245E2"/>
    <w:rsid w:val="68B0544A"/>
    <w:rsid w:val="690F3CAF"/>
    <w:rsid w:val="6A0C28CE"/>
    <w:rsid w:val="6A650A4D"/>
    <w:rsid w:val="6B7060C6"/>
    <w:rsid w:val="6BCF04C2"/>
    <w:rsid w:val="6BFF59B7"/>
    <w:rsid w:val="6C111246"/>
    <w:rsid w:val="6C60029B"/>
    <w:rsid w:val="6C927168"/>
    <w:rsid w:val="6D8C5247"/>
    <w:rsid w:val="6E904287"/>
    <w:rsid w:val="6EA83056"/>
    <w:rsid w:val="6EB55F1D"/>
    <w:rsid w:val="6EBC0FB8"/>
    <w:rsid w:val="6EBE51FD"/>
    <w:rsid w:val="6EF364B6"/>
    <w:rsid w:val="6F2540A9"/>
    <w:rsid w:val="700B56BF"/>
    <w:rsid w:val="700F5C73"/>
    <w:rsid w:val="70817FC6"/>
    <w:rsid w:val="70AF0E0B"/>
    <w:rsid w:val="70C87CAA"/>
    <w:rsid w:val="70CF179B"/>
    <w:rsid w:val="71723BF8"/>
    <w:rsid w:val="71B459C5"/>
    <w:rsid w:val="71CB4143"/>
    <w:rsid w:val="721C092E"/>
    <w:rsid w:val="723D7934"/>
    <w:rsid w:val="727266B8"/>
    <w:rsid w:val="72804A5F"/>
    <w:rsid w:val="72A91F16"/>
    <w:rsid w:val="72C81D24"/>
    <w:rsid w:val="73510736"/>
    <w:rsid w:val="73772C48"/>
    <w:rsid w:val="73B34B68"/>
    <w:rsid w:val="73C87749"/>
    <w:rsid w:val="742D20BE"/>
    <w:rsid w:val="74300B51"/>
    <w:rsid w:val="74373E1F"/>
    <w:rsid w:val="74557B08"/>
    <w:rsid w:val="745909D3"/>
    <w:rsid w:val="74757604"/>
    <w:rsid w:val="756026FD"/>
    <w:rsid w:val="75686390"/>
    <w:rsid w:val="757027FD"/>
    <w:rsid w:val="764C7835"/>
    <w:rsid w:val="76606237"/>
    <w:rsid w:val="76BC0040"/>
    <w:rsid w:val="76E97240"/>
    <w:rsid w:val="77547F95"/>
    <w:rsid w:val="77581BDC"/>
    <w:rsid w:val="77DF77F2"/>
    <w:rsid w:val="77F53FBA"/>
    <w:rsid w:val="77FE3901"/>
    <w:rsid w:val="78A056D5"/>
    <w:rsid w:val="78B612F9"/>
    <w:rsid w:val="78B86F01"/>
    <w:rsid w:val="78BD180A"/>
    <w:rsid w:val="78BD2213"/>
    <w:rsid w:val="78CA62AD"/>
    <w:rsid w:val="79383F91"/>
    <w:rsid w:val="796C56F2"/>
    <w:rsid w:val="79DA4CD9"/>
    <w:rsid w:val="79DC3C10"/>
    <w:rsid w:val="79F32D29"/>
    <w:rsid w:val="7A3031E0"/>
    <w:rsid w:val="7A5F3AF6"/>
    <w:rsid w:val="7A640644"/>
    <w:rsid w:val="7A66765A"/>
    <w:rsid w:val="7AB07AB2"/>
    <w:rsid w:val="7B7C3CE3"/>
    <w:rsid w:val="7B84301F"/>
    <w:rsid w:val="7B937DA9"/>
    <w:rsid w:val="7BB813CF"/>
    <w:rsid w:val="7BFB159A"/>
    <w:rsid w:val="7C240326"/>
    <w:rsid w:val="7C5365EF"/>
    <w:rsid w:val="7C5F4A2B"/>
    <w:rsid w:val="7C6E6F9B"/>
    <w:rsid w:val="7C724B1A"/>
    <w:rsid w:val="7D405E73"/>
    <w:rsid w:val="7DDB79A8"/>
    <w:rsid w:val="7DE6477E"/>
    <w:rsid w:val="7E17286F"/>
    <w:rsid w:val="7E265B35"/>
    <w:rsid w:val="7E395726"/>
    <w:rsid w:val="7E54076D"/>
    <w:rsid w:val="7E836D97"/>
    <w:rsid w:val="7E8E73EF"/>
    <w:rsid w:val="7EF23A73"/>
    <w:rsid w:val="7F523D4E"/>
    <w:rsid w:val="7F7D4793"/>
    <w:rsid w:val="7FF12B73"/>
    <w:rsid w:val="B5FFA835"/>
    <w:rsid w:val="BAFEEA0C"/>
    <w:rsid w:val="F3FD6B2F"/>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3"/>
    <w:unhideWhenUsed/>
    <w:qFormat/>
    <w:uiPriority w:val="99"/>
    <w:rPr>
      <w:sz w:val="18"/>
      <w:szCs w:val="18"/>
    </w:r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100" w:beforeAutospacing="1" w:after="100" w:afterAutospacing="1"/>
      <w:jc w:val="left"/>
    </w:pPr>
    <w:rPr>
      <w:kern w:val="0"/>
      <w:sz w:val="24"/>
    </w:rPr>
  </w:style>
  <w:style w:type="character" w:styleId="8">
    <w:name w:val="Strong"/>
    <w:basedOn w:val="7"/>
    <w:qFormat/>
    <w:uiPriority w:val="0"/>
    <w:rPr>
      <w:b/>
    </w:rPr>
  </w:style>
  <w:style w:type="paragraph" w:styleId="9">
    <w:name w:val="List Paragraph"/>
    <w:basedOn w:val="1"/>
    <w:qFormat/>
    <w:uiPriority w:val="34"/>
    <w:pPr>
      <w:ind w:firstLine="420" w:firstLineChars="200"/>
    </w:pPr>
  </w:style>
  <w:style w:type="paragraph" w:customStyle="1" w:styleId="10">
    <w:name w:val="普通(网站) Char"/>
    <w:basedOn w:val="1"/>
    <w:qFormat/>
    <w:uiPriority w:val="0"/>
    <w:pPr>
      <w:spacing w:before="100" w:beforeAutospacing="1" w:after="100" w:afterAutospacing="1"/>
      <w:jc w:val="left"/>
    </w:pPr>
    <w:rPr>
      <w:rFonts w:hint="eastAsia" w:ascii="宋体" w:hAnsi="宋体"/>
      <w:kern w:val="0"/>
      <w:sz w:val="24"/>
      <w:szCs w:val="24"/>
    </w:rPr>
  </w:style>
  <w:style w:type="character" w:customStyle="1" w:styleId="11">
    <w:name w:val="页眉 Char"/>
    <w:link w:val="4"/>
    <w:qFormat/>
    <w:uiPriority w:val="99"/>
    <w:rPr>
      <w:sz w:val="18"/>
      <w:szCs w:val="18"/>
    </w:rPr>
  </w:style>
  <w:style w:type="character" w:customStyle="1" w:styleId="12">
    <w:name w:val="页脚 Char1"/>
    <w:link w:val="3"/>
    <w:qFormat/>
    <w:uiPriority w:val="99"/>
    <w:rPr>
      <w:sz w:val="18"/>
      <w:szCs w:val="18"/>
    </w:rPr>
  </w:style>
  <w:style w:type="character" w:customStyle="1" w:styleId="13">
    <w:name w:val="批注框文本 Char"/>
    <w:link w:val="2"/>
    <w:semiHidden/>
    <w:qFormat/>
    <w:uiPriority w:val="99"/>
    <w:rPr>
      <w:kern w:val="2"/>
      <w:sz w:val="18"/>
      <w:szCs w:val="18"/>
    </w:rPr>
  </w:style>
  <w:style w:type="character" w:customStyle="1" w:styleId="14">
    <w:name w:val="23"/>
    <w:basedOn w:val="7"/>
    <w:qFormat/>
    <w:uiPriority w:val="0"/>
    <w:rPr>
      <w:rFonts w:hint="default" w:ascii="Times New Roman" w:hAnsi="Times New Roman" w:cs="Times New Roman"/>
      <w:b/>
    </w:rPr>
  </w:style>
  <w:style w:type="character" w:customStyle="1" w:styleId="15">
    <w:name w:val="页脚 Char"/>
    <w:qFormat/>
    <w:uiPriority w:val="99"/>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15</Pages>
  <Words>7286</Words>
  <Characters>8277</Characters>
  <Lines>49</Lines>
  <Paragraphs>13</Paragraphs>
  <TotalTime>22</TotalTime>
  <ScaleCrop>false</ScaleCrop>
  <LinksUpToDate>false</LinksUpToDate>
  <CharactersWithSpaces>8281</CharactersWithSpaces>
  <Application>WPS Office_11.8.2.10195_F1E327BC-269C-435d-A152-05C5408002CA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2021-07-06T22:32:00Z</dcterms:created>
  <dc:creator>微软用户</dc:creator>
  <cp:lastModifiedBy>uos</cp:lastModifiedBy>
  <cp:lastPrinted>2023-08-10T17:16:00Z</cp:lastPrinted>
  <dcterms:modified xsi:type="dcterms:W3CDTF">2025-08-21T09:25:38Z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2052-11.8.2.10195</vt:lpwstr>
  </property>
  <property fmtid="{D5CDD505-2E9C-101B-9397-08002B2CF9AE}" pid="3" name="ICV">
    <vt:lpwstr>C5C051BE58ED47B681D748640379E264</vt:lpwstr>
  </property>
  <property fmtid="{D5CDD505-2E9C-101B-9397-08002B2CF9AE}" pid="4" name="KSOTemplateDocerSaveRecord">
    <vt:lpwstr>eyJoZGlkIjoiNzY5ZTA2M2M4NGI0MjM3MWRhYTlmNTZlYTNiYTcxNzYiLCJ1c2VySWQiOiI0NTA3MzA0MjAifQ==</vt:lpwstr>
  </property>
</Properties>
</file>